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40735" cy="1286510"/>
                <wp:effectExtent l="0" t="0" r="0" b="889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40735" cy="1286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63.05pt;height:101.3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56"/>
          <w:szCs w:val="56"/>
        </w:rPr>
      </w:r>
    </w:p>
    <w:sdt>
      <w:sdtPr>
        <w15:appearance w15:val="boundingBox"/>
        <w:id w:val="326794676"/>
        <w:docPartObj>
          <w:docPartGallery w:val="autotext"/>
        </w:docPartObj>
        <w:rPr>
          <w:rFonts w:ascii="Times New Roman" w:hAnsi="Times New Roman" w:cs="Times New Roman"/>
          <w:sz w:val="56"/>
          <w:szCs w:val="56"/>
        </w:rPr>
      </w:sdtPr>
      <w:sdtContent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cs="Times New Roman"/>
              <w:sz w:val="56"/>
              <w:szCs w:val="56"/>
            </w:rPr>
          </w:pPr>
          <w:r>
            <w:rPr>
              <w:rFonts w:ascii="Times New Roman" w:hAnsi="Times New Roman" w:cs="Times New Roman"/>
              <w:sz w:val="56"/>
              <w:szCs w:val="56"/>
            </w:rPr>
          </w:r>
          <w:r>
            <w:rPr>
              <w:rFonts w:ascii="Times New Roman" w:hAnsi="Times New Roman" w:cs="Times New Roman"/>
              <w:sz w:val="56"/>
              <w:szCs w:val="56"/>
            </w:rPr>
          </w:r>
        </w:p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sdt>
          <w:sdtPr>
            <w15:appearance w15:val="boundingBox"/>
            <w:id w:val="644633684"/>
            <w:docPartObj>
              <w:docPartGallery w:val="autotext"/>
            </w:docPartObj>
            <w:rPr>
              <w:rFonts w:ascii="Times New Roman" w:hAnsi="Times New Roman" w:eastAsia="Arial Unicode MS" w:cs="Times New Roman"/>
              <w:sz w:val="40"/>
              <w:szCs w:val="40"/>
            </w:rPr>
          </w:sdtPr>
          <w:sdtContent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  <w:highlight w:val="none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  <w:highlight w:val="none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  <w:highlight w:val="none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КОНКУРСНОЕ ЗАДАНИЕ КОМПЕТЕНЦИИ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«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Администрирование отеля </w:t>
              </w:r>
              <w:r>
                <w:rPr>
                  <w:rFonts w:hint="default" w:ascii="Times New Roman" w:hAnsi="Times New Roman" w:eastAsia="Arial Unicode MS" w:cs="Times New Roman"/>
                  <w:b/>
                  <w:bCs/>
                  <w:sz w:val="40"/>
                  <w:szCs w:val="40"/>
                  <w:lang w:val="ru-RU"/>
                </w:rPr>
                <w:t xml:space="preserve">(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юниоры</w:t>
              </w:r>
              <w:r>
                <w:rPr>
                  <w:rFonts w:hint="default" w:ascii="Times New Roman" w:hAnsi="Times New Roman" w:eastAsia="Arial Unicode MS" w:cs="Times New Roman"/>
                  <w:b/>
                  <w:bCs/>
                  <w:sz w:val="40"/>
                  <w:szCs w:val="40"/>
                  <w:lang w:val="ru-RU"/>
                </w:rPr>
                <w:t xml:space="preserve">)</w:t>
              </w:r>
              <w:bookmarkStart w:id="23" w:name="_GoBack"/>
              <w:r>
                <w:rPr>
                  <w:b/>
                  <w:bCs/>
                </w:rPr>
              </w:r>
              <w:bookmarkEnd w:id="23"/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»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r>
            </w:p>
            <w:p>
              <w:pPr>
                <w:pStyle w:val="1_3"/>
                <w:pBdr/>
                <w:shd w:val="clear" w:color="auto" w:fill="ffffff"/>
                <w:spacing w:after="0" w:before="0"/>
                <w:ind/>
                <w:contextualSpacing w:val="true"/>
                <w:jc w:val="center"/>
                <w:rPr>
                  <w:rFonts w:eastAsia="Times New Roman"/>
                  <w:b/>
                  <w:bCs/>
                  <w:color w:val="1a1a1a"/>
                  <w:sz w:val="40"/>
                  <w:szCs w:val="40"/>
                  <w:highlight w:val="none"/>
                  <w:lang w:eastAsia="ru-RU"/>
                </w:rPr>
              </w:pP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  <w:lang w:eastAsia="ru-RU"/>
                </w:rPr>
                <w:t xml:space="preserve">Регионального этапа Чемпионата по профессиональному мастерству </w:t>
              </w: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</w:rPr>
              </w: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>
                <w:rPr>
                  <w:u w:val="single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«Профессионалы» в 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2026</w:t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  <w:t xml:space="preserve"> 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г.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XO Thames" w:hAnsi="XO Thames" w:cs="XO Thames"/>
                  <w:b/>
                  <w:bCs/>
                  <w:sz w:val="40"/>
                  <w:szCs w:val="40"/>
                </w:rPr>
              </w:pPr>
              <w:r>
                <w:rPr>
                  <w:rFonts w:ascii="XO Thames" w:hAnsi="XO Thames" w:eastAsia="XO Thames" w:cs="XO Thames"/>
                  <w:b/>
                  <w:sz w:val="40"/>
                  <w:szCs w:val="40"/>
                </w:rPr>
              </w:r>
              <w:r>
                <w:rPr>
                  <w:rFonts w:ascii="XO Thames" w:hAnsi="XO Thames" w:eastAsia="XO Thames" w:cs="XO Thames"/>
                  <w:bCs/>
                  <w:color w:val="1a1a1a"/>
                  <w:sz w:val="40"/>
                  <w:szCs w:val="40"/>
                  <w:u w:val="single"/>
                  <w:lang w:eastAsia="ru-RU"/>
                </w:rPr>
                <w:t xml:space="preserve">в Кемеровской области - Кузбассе</w:t>
              </w:r>
              <w:r>
                <w:rPr>
                  <w:rFonts w:ascii="XO Thames" w:hAnsi="XO Thames" w:cs="XO Thames"/>
                  <w:b/>
                  <w:bCs/>
                  <w:sz w:val="40"/>
                  <w:szCs w:val="40"/>
                </w:rPr>
              </w:r>
              <w:r>
                <w:rPr>
                  <w:rFonts w:ascii="XO Thames" w:hAnsi="XO Thames" w:cs="XO Thames"/>
                  <w:b/>
                  <w:bCs/>
                  <w:sz w:val="40"/>
                  <w:szCs w:val="40"/>
                </w:rPr>
              </w:r>
            </w:p>
          </w:sdtContent>
        </w:sdt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</w:p>
      </w:sdtContent>
    </w:sdt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2026 г.</w:t>
      </w:r>
      <w:r>
        <w:rPr>
          <w:rFonts w:ascii="Times New Roman" w:hAnsi="Times New Roman" w:cs="Times New Roman"/>
          <w:sz w:val="28"/>
          <w:szCs w:val="28"/>
          <w:lang w:bidi="en-US"/>
        </w:rPr>
        <w:br w:type="page" w:clear="all"/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890"/>
        <w:pBdr/>
        <w:shd w:val="clear" w:color="auto" w:fill="auto"/>
        <w:spacing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890"/>
        <w:pBdr/>
        <w:shd w:val="clear" w:color="auto" w:fill="auto"/>
        <w:spacing w:line="360" w:lineRule="auto"/>
        <w:ind w:firstLine="0"/>
        <w:contextualSpacing w:val="tru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57"/>
        <w:numPr>
          <w:ilvl w:val="0"/>
          <w:numId w:val="0"/>
        </w:numPr>
        <w:pBdr/>
        <w:spacing/>
        <w:ind/>
        <w:contextualSpacing w:val="true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 включает в себя следующие разделы: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857"/>
        <w:numPr>
          <w:ilvl w:val="0"/>
          <w:numId w:val="0"/>
        </w:numPr>
        <w:pBdr/>
        <w:spacing/>
        <w:ind w:hanging="360" w:left="360"/>
        <w:contextualSpacing w:val="true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835"/>
        <w:pBdr/>
        <w:spacing/>
        <w:ind/>
        <w:contextualSpacing w:val="true"/>
        <w:rPr>
          <w:rFonts w:ascii="Times New Roman" w:hAnsi="Times New Roman" w:eastAsiaTheme="minorEastAsia"/>
          <w:bCs w:val="0"/>
          <w:sz w:val="28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fldChar w:fldCharType="begin"/>
      </w:r>
      <w:r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lang w:val="ru-RU" w:eastAsia="ru-RU"/>
        </w:rPr>
        <w:fldChar w:fldCharType="separate"/>
      </w:r>
      <w:r>
        <w:fldChar w:fldCharType="begin"/>
      </w:r>
      <w:r>
        <w:instrText xml:space="preserve"> HYPERLINK \l "_Toc181787356" </w:instrText>
      </w:r>
      <w:r>
        <w:fldChar w:fldCharType="separate"/>
      </w:r>
      <w:r>
        <w:rPr>
          <w:rStyle w:val="825"/>
          <w:rFonts w:ascii="Times New Roman" w:hAnsi="Times New Roman"/>
          <w:sz w:val="28"/>
        </w:rPr>
        <w:t xml:space="preserve">1. ОСНОВНЫЕ ТРЕБОВАНИЯ КОМПЕТЕНЦИИ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 PAGEREF _Toc181787356 \h 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"_Toc181787357" </w:instrText>
      </w:r>
      <w:r>
        <w:fldChar w:fldCharType="separate"/>
      </w:r>
      <w:r>
        <w:rPr>
          <w:rStyle w:val="825"/>
          <w:sz w:val="28"/>
          <w:szCs w:val="28"/>
        </w:rPr>
        <w:t xml:space="preserve">1.1. ОБЩИЕ СВЕДЕНИЯ О ТРЕБОВАНИЯХ КОМПЕТЕНЦИИ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_Toc181787357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"_Toc181787358" </w:instrText>
      </w:r>
      <w:r>
        <w:fldChar w:fldCharType="separate"/>
      </w:r>
      <w:r>
        <w:rPr>
          <w:rStyle w:val="825"/>
          <w:sz w:val="28"/>
          <w:szCs w:val="28"/>
        </w:rPr>
        <w:t xml:space="preserve">1.2. ПЕРЕЧЕНЬ ПРОФЕССИОНАЛЬНЫХ ЗАДАЧ СПЕЦИАЛИСТА ПО КОМПЕТЕНЦИИ «АДМИНИСТРИРОВАНИЕ ОТЕЛЯ»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_Toc181787358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"_Toc181787359" </w:instrText>
      </w:r>
      <w:r>
        <w:fldChar w:fldCharType="separate"/>
      </w:r>
      <w:r>
        <w:rPr>
          <w:rStyle w:val="825"/>
          <w:sz w:val="28"/>
          <w:szCs w:val="28"/>
        </w:rPr>
        <w:t xml:space="preserve">1.3. ТРЕБОВАНИЯ К СХЕМЕ ОЦЕНКИ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_Toc181787359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"_Toc181787360" </w:instrText>
      </w:r>
      <w:r>
        <w:fldChar w:fldCharType="separate"/>
      </w:r>
      <w:r>
        <w:rPr>
          <w:rStyle w:val="825"/>
          <w:sz w:val="28"/>
          <w:szCs w:val="28"/>
        </w:rPr>
        <w:t xml:space="preserve">1.4. СПЕЦИФИКАЦИЯ ОЦЕНКИ КОМПЕТЕНЦИИ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_Toc181787360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"_Toc181787361" </w:instrText>
      </w:r>
      <w:r>
        <w:fldChar w:fldCharType="separate"/>
      </w:r>
      <w:r>
        <w:rPr>
          <w:rStyle w:val="825"/>
          <w:sz w:val="28"/>
          <w:szCs w:val="28"/>
        </w:rPr>
        <w:t xml:space="preserve">1.5. КОНКУРСНОЕ ЗАДАНИЕ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_Toc181787361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"_Toc181787362" </w:instrText>
      </w:r>
      <w:r>
        <w:fldChar w:fldCharType="separate"/>
      </w:r>
      <w:r>
        <w:rPr>
          <w:rStyle w:val="825"/>
          <w:sz w:val="28"/>
          <w:szCs w:val="28"/>
        </w:rPr>
        <w:t xml:space="preserve">1.5.1. Разработка/выбор конкурсного задания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_Toc181787362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"_Toc181787363" </w:instrText>
      </w:r>
      <w:r>
        <w:fldChar w:fldCharType="separate"/>
      </w:r>
      <w:r>
        <w:rPr>
          <w:rStyle w:val="825"/>
          <w:sz w:val="28"/>
          <w:szCs w:val="28"/>
        </w:rPr>
        <w:t xml:space="preserve">1.5.2. Структура модулей конкурсного задания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_Toc181787363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"_Toc181787364" </w:instrText>
      </w:r>
      <w:r>
        <w:fldChar w:fldCharType="separate"/>
      </w:r>
      <w:r>
        <w:rPr>
          <w:rStyle w:val="825"/>
          <w:sz w:val="28"/>
          <w:szCs w:val="28"/>
        </w:rPr>
        <w:t xml:space="preserve">2. СПЕЦИАЛЬНЫЕ ПРАВИЛА КОМПЕТЕНЦИИ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_Toc181787364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"_Toc181787365" </w:instrText>
      </w:r>
      <w:r>
        <w:fldChar w:fldCharType="separate"/>
      </w:r>
      <w:r>
        <w:rPr>
          <w:rStyle w:val="825"/>
          <w:sz w:val="28"/>
          <w:szCs w:val="28"/>
        </w:rPr>
        <w:t xml:space="preserve">2.1. ЛИЧНЫЙ ИНСТРУМЕНТ КОНКУРСАНТА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_Toc181787365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7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\l "_Toc181787366" </w:instrText>
      </w:r>
      <w:r>
        <w:fldChar w:fldCharType="separate"/>
      </w:r>
      <w:r>
        <w:rPr>
          <w:rStyle w:val="825"/>
          <w:caps/>
          <w:sz w:val="28"/>
          <w:szCs w:val="28"/>
        </w:rPr>
        <w:t xml:space="preserve">2.2.</w:t>
      </w:r>
      <w:r>
        <w:rPr>
          <w:rStyle w:val="825"/>
          <w:i/>
          <w:caps/>
          <w:sz w:val="28"/>
          <w:szCs w:val="28"/>
        </w:rPr>
        <w:t xml:space="preserve"> </w:t>
      </w:r>
      <w:r>
        <w:rPr>
          <w:rStyle w:val="825"/>
          <w:caps/>
          <w:sz w:val="28"/>
          <w:szCs w:val="28"/>
        </w:rPr>
        <w:t xml:space="preserve">Материалы, оборудование и инструменты, запрещенные на площадке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_Toc181787366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</w:r>
    </w:p>
    <w:p>
      <w:pPr>
        <w:pStyle w:val="835"/>
        <w:pBdr/>
        <w:spacing/>
        <w:ind/>
        <w:contextualSpacing w:val="true"/>
        <w:rPr>
          <w:rFonts w:ascii="Times New Roman" w:hAnsi="Times New Roman" w:eastAsiaTheme="minorEastAsia"/>
          <w:bCs w:val="0"/>
          <w:sz w:val="28"/>
          <w:lang w:val="ru-RU" w:eastAsia="ru-RU"/>
        </w:rPr>
      </w:pPr>
      <w:r>
        <w:fldChar w:fldCharType="begin"/>
      </w:r>
      <w:r>
        <w:instrText xml:space="preserve"> HYPERLINK \l "_Toc181787367" </w:instrText>
      </w:r>
      <w:r>
        <w:fldChar w:fldCharType="separate"/>
      </w:r>
      <w:r>
        <w:rPr>
          <w:rStyle w:val="825"/>
          <w:rFonts w:ascii="Times New Roman" w:hAnsi="Times New Roman"/>
          <w:sz w:val="28"/>
        </w:rPr>
        <w:t xml:space="preserve">3. Приложения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 PAGEREF _Toc181787367 \h 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22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857"/>
        <w:numPr>
          <w:ilvl w:val="0"/>
          <w:numId w:val="0"/>
        </w:numPr>
        <w:pBdr/>
        <w:tabs>
          <w:tab w:val="left" w:leader="none" w:pos="142"/>
          <w:tab w:val="right" w:leader="dot" w:pos="9639"/>
        </w:tabs>
        <w:spacing/>
        <w:ind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857"/>
        <w:numPr>
          <w:ilvl w:val="0"/>
          <w:numId w:val="0"/>
        </w:numPr>
        <w:pBdr/>
        <w:spacing/>
        <w:ind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br w:type="page" w:clear="all"/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857"/>
        <w:numPr>
          <w:ilvl w:val="0"/>
          <w:numId w:val="0"/>
        </w:numPr>
        <w:pBdr/>
        <w:spacing/>
        <w:ind/>
        <w:contextualSpacing w:val="true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ИСПОЛЬЗУЕМЫЕ СОКРАЩЕНИЯ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Фронт-офис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front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office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департаменты отеля, непосредственно контактирующие с гостями.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Бэк-офис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back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office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внутренние отделы отеля, не контактирующие напрямую с гостями.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АСУ (автоматическая система управления) - </w:t>
      </w:r>
      <w:r>
        <w:rPr>
          <w:rFonts w:ascii="Times New Roman" w:hAnsi="Times New Roman" w:cs="Times New Roman"/>
          <w:sz w:val="28"/>
          <w:szCs w:val="28"/>
        </w:rPr>
        <w:t xml:space="preserve">система, использующаяся для управления отелем. При помощи данной системы владелец и его подчиненные могут оперативно управлять номерным фондом, осуществлять бронирование, а также контролировать загрузку.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Апсейл 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p-sale) -</w:t>
      </w:r>
      <w:r>
        <w:rPr>
          <w:rFonts w:ascii="Times New Roman" w:hAnsi="Times New Roman" w:cs="Times New Roman"/>
          <w:sz w:val="28"/>
          <w:szCs w:val="28"/>
        </w:rPr>
        <w:t xml:space="preserve"> повышение продаж. Основная цель апсейла — увеличить сумму покупки, увеличить оборот. Одна из наиболее простых и в то же время эффективных техник увеличения продаж.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Кросс-сейл (сross sale)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перекрестные продажи. Это техника продаж гостю дополнительных, сопутствующих или взаимосвязанных услуг других структурных подразделений отеля.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left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Расчетный час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Время, установленное отелем для заезда и выезда гостя.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СПиР -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лужба приема и размещения отеля. Может иметь в своем составе службы: консьерж (Bell Desk), бронирование, ресепшн, телефонные операторы, бизнес-центр и Guest Relation.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Style w:val="824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Guest Relation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отдел, специализирующийся на персонализированном сервисе.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Гарантированное бронирование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вид бронирования, при котором отель ожидает потребителя до расчетного часа дня, следующего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 днем запланированного заезда. В случае несвоевременного отказа от бронирования, опоздания или незаезда гостя, с него взимается плата за простой номера, но не более чем за сутки. При опоздании более чем на сутки гарантированное бронирование аннулируется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Негарантированное бронирование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вид бронирования, при котором отель ожидает гостя до определенного часа, установленного отелем, в день заезда, после чего бронирование аннулируется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Walk-in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гость, прибывший в отель без предварительного бронирования, и размещающийся сразу по прибытию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Счет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Документ, предоставляемый отелем гостю и содержащий перечень товаров и услуг, их количество и цену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Информационный счет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счет, предоставляемый гостю для проверки корректности начислений до проведения оплаты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Фискальный чек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чек, который продавец формирует на онлайн-кассе для передачи покупателю или клиенту. 54-ФЗ обязывает продавцов выдавать покупателям и клиентам фискальные чеки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Слип-чек с электронного терминала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выдается гостям, которые в качестве средства оплаты используют банковские карты. Этот платежный документ оформляет электронный терминал.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Регистрационная форма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Договор между гостем и отелем, подтверждающий вид размещения, продолжительность проживания и стоимость номера.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ФКП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финансово-кредитная политика.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BB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Bed</w:t>
      </w:r>
      <w:r>
        <w:rPr>
          <w:rFonts w:ascii="Times New Roman" w:hAnsi="Times New Roman"/>
          <w:b/>
          <w:sz w:val="28"/>
          <w:szCs w:val="28"/>
        </w:rPr>
        <w:t xml:space="preserve"> &amp;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Breakfast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– тип питания, включающий только завтрак.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HB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half</w:t>
      </w:r>
      <w:r>
        <w:rPr>
          <w:rFonts w:ascii="Times New Roman" w:hAnsi="Times New Roman"/>
          <w:b/>
          <w:sz w:val="28"/>
          <w:szCs w:val="28"/>
        </w:rPr>
        <w:t xml:space="preserve">-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board</w:t>
      </w:r>
      <w:r>
        <w:rPr>
          <w:rFonts w:ascii="Times New Roman" w:hAnsi="Times New Roman"/>
          <w:b/>
          <w:sz w:val="28"/>
          <w:szCs w:val="28"/>
        </w:rPr>
        <w:t xml:space="preserve">) – полупансион - </w:t>
      </w:r>
      <w:r>
        <w:rPr>
          <w:rFonts w:ascii="Times New Roman" w:hAnsi="Times New Roman"/>
          <w:sz w:val="28"/>
          <w:szCs w:val="28"/>
        </w:rPr>
        <w:t xml:space="preserve">тип питания, включающий завтрак и обед или завтрак и ужин.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FB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full</w:t>
      </w:r>
      <w:r>
        <w:rPr>
          <w:rFonts w:ascii="Times New Roman" w:hAnsi="Times New Roman"/>
          <w:b/>
          <w:sz w:val="28"/>
          <w:szCs w:val="28"/>
        </w:rPr>
        <w:t xml:space="preserve">-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board</w:t>
      </w:r>
      <w:r>
        <w:rPr>
          <w:rFonts w:ascii="Times New Roman" w:hAnsi="Times New Roman"/>
          <w:b/>
          <w:sz w:val="28"/>
          <w:szCs w:val="28"/>
        </w:rPr>
        <w:t xml:space="preserve">) – полный пансион - </w:t>
      </w:r>
      <w:r>
        <w:rPr>
          <w:rFonts w:ascii="Times New Roman" w:hAnsi="Times New Roman"/>
          <w:sz w:val="28"/>
          <w:szCs w:val="28"/>
        </w:rPr>
        <w:t xml:space="preserve">тип питания, включающий завтрак обед и ужин.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KPI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ключевые показатели эффективности деятельности отеля.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Room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Revenue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доход от реализации комнат.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Occupancy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OCC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заполняемость/ загрузка гостиницы.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ARR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средняя стоимость номера за ночь.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RevPAR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средний доход на каждый доступный номер.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MPI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загрузки) – показатель, характеризующий величину загрузки отеля по отношению к конкурентной группе. Вычисляется как отношение загрузки отеля в % к средней загрузке отелей-конкурентов в %.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ARI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средней цены продажи номера) – показатель, характеризующий величину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отеля по отношению к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конкурентной группы.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RGI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дохода на номер) – показатель, характеризующий величину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RevPar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отеля по отношению к доходу на номер конкурентной группы.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ГЭ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главный эксперт.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57"/>
        <w:numPr>
          <w:ilvl w:val="0"/>
          <w:numId w:val="0"/>
        </w:numPr>
        <w:pBdr/>
        <w:spacing/>
        <w:ind w:hanging="360"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_Toc450204622"/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  <w:bookmarkEnd w:id="0"/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pBdr/>
        <w:spacing w:after="0" w:before="0"/>
        <w:ind/>
        <w:contextualSpacing w:val="true"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1" w:name="_Toc181787356"/>
      <w:r>
        <w:rPr>
          <w:rFonts w:ascii="Times New Roman" w:hAnsi="Times New Roman"/>
          <w:color w:val="auto"/>
          <w:sz w:val="28"/>
          <w:szCs w:val="28"/>
        </w:rPr>
        <w:t xml:space="preserve">1. ОСНОВНЫЕ ТРЕБОВАНИЯ КОМПЕТЕНЦИИ</w:t>
      </w:r>
      <w:bookmarkEnd w:id="1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873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2" w:name="_Toc181787357"/>
      <w:r>
        <w:rPr>
          <w:rFonts w:ascii="Times New Roman" w:hAnsi="Times New Roman"/>
          <w:szCs w:val="28"/>
        </w:rPr>
        <w:t xml:space="preserve">1.1. ОБЩИЕ СВЕДЕНИЯ О ТРЕБОВАНИЯХ КОМПЕТЕНЦИИ</w:t>
      </w:r>
      <w:bookmarkEnd w:id="2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«Администрирование отеля»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4" w:name="_Toc78885652"/>
      <w:r/>
      <w:bookmarkStart w:id="5" w:name="_Toc181787358"/>
      <w:r>
        <w:rPr>
          <w:rFonts w:ascii="Times New Roman" w:hAnsi="Times New Roman"/>
          <w:szCs w:val="28"/>
        </w:rPr>
        <w:t xml:space="preserve">1.</w:t>
      </w:r>
      <w:bookmarkEnd w:id="4"/>
      <w:r>
        <w:rPr>
          <w:rFonts w:ascii="Times New Roman" w:hAnsi="Times New Roman"/>
          <w:szCs w:val="28"/>
        </w:rPr>
        <w:t xml:space="preserve">2. ПЕРЕЧЕНЬ ПРОФЕССИОНАЛЬНЫХ ЗАДАЧ СПЕЦИАЛИСТА ПО КОМПЕТЕНЦИИ «АДМИНИСТРИРОВАНИЕ ОТЕЛЯ»</w:t>
      </w:r>
      <w:bookmarkEnd w:id="5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/>
        <w:contextualSpacing w:val="true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№1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Style w:val="820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67"/>
        <w:gridCol w:w="6532"/>
        <w:gridCol w:w="2171"/>
      </w:tblGrid>
      <w:tr>
        <w:trPr>
          <w:jc w:val="center"/>
        </w:trPr>
        <w:tc>
          <w:tcPr>
            <w:shd w:val="clear" w:color="auto" w:fill="92d050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r>
          </w:p>
        </w:tc>
        <w:tc>
          <w:tcPr>
            <w:shd w:val="clear" w:color="auto" w:fill="92d050"/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в %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13,4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охраны здоровья, санитарии и гигиены;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антитеррористической безопасности и безопасности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организационную структуру гостиничного комплекса или иного средства размещения, алгоритмы взаимодействия служб;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менеджмента и маркетинга, делопроизводства, подготовки отчетности гостиничных комплексов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технологический цикл обслуживания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деловой коммуникации (вербальная/невербальная, письменная, в т.ч. телефонные переговоры);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5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управления человеческими ресурсами;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текущие и оперативные планы работ сотрудников службы приема и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распределять работу между сотрудниками службы приема и размещения, координировать ее и ставить им производственные задачи;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контролировать обеспеченность службы приема и размещения материально-техническими, информационными ресурсами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 организовывать и оптимизировать рабочий процесс;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деятельности службы приема и размещения и своевременно выявлять отклонения в их работе;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внутренние нормативные документы для эффективной организации труда (инструкции, стандарты операционных процедур, скрипты и т.д)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инструктировать сотрудников службы приема и размещения на рабочих местах по вопросам современных правил обслуживания гостей;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отчеты о работе службы приема и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политику конфиденциальности;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законов РФ в части защиты прав потребителей и продажи услуг;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Навыки межличностного общения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межкультурной коммуникации с гостями;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межличностного и делового общения;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обеспечения лояльности гостей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 с учетом характеристик постоянных клиентов гостиничного комплекса или иных средств размещения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деловой коммуникации (вербальная/невербальная, письменная, в т.ч. телефонные переговоры);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преодоления барьеров эффективной коммуникации;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стандарты внешнего вида сотрудников гостиниц и иных средств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Разрешать возникшие у гостей проблемы, связанные с услугами в гостинице и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гостях гостиничного комплекса или иного средства размещения с использованием специализированных программных комплексов;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Управлять конфликтными ситуациями / жалобами;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Отождествлять себя с организацией, ее целями, философией и стандартами;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Поддерживать профессиональные отношения с гостями и коллегами;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Поддерживать внешний вид согласно установленным стандартам;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вербальной/невербальной в т.ч. письменной коммуникации;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8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Сохранять самообладание и уверенность в себе при осуществлении профессиональной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распределения различных категорий номеров в соответствии с поэтажным планом;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каналы прямых и непрямых продаж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работы с автоматизированными системами управления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тарифную политику;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бронирования;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гарантирования и аннулирования бронирования;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показатели эффективности деятельности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9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политику взаимодействия с тур. операторами, агентами и корпоративными партнерами.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различные виды бронирования в гостиничных комплексах или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бронирование номерного фонда, используя инструменты стратегического планирования;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службах и услугах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Заезд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технологический цикл обслуживания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процедуры выдачи ключей, виды ключей;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работы с личными данными гостя;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работы с автоматизированными системами управления (асу);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организационную структуру гостиничного комплекса или иного средства размещения, алгоритмы взаимодействия служб;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алгоритмы приема и хранения багажа и ценных вещей.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регистрацию российских и иностранных гостей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процедуру идентификации личности гостя;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размещать гостей согласно статусу номерного фонда;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корректную информацию об инфраструктуре и номерном фонде отеля;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хранить и актуализировать всю необходимую документацию и информацию, касающуюся проживания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размещения в гостиничном комплексе или ином средстве размещения в наличной и безналичной форме.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Обслуживание гостей во время их проживания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10,2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культурную, историческую и туристическую информацию, касающуюся данного региона.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межличностного и делового общения;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межкультурной коммуникации с гостями;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обслуживания гостей, членов программ лояльности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механизмы формирования счета при пользовании дополнительными платными услугами;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процедуры взаимодействия внутри отделов фронт-офис и бэк-офис;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работы с актами на возмещение ущерба, обнаружения забытых вещей.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службах и услугах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хранить ключи и ценности гостей в соответствии с правилами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оказывать помощь в проведении ознакомительных экскурсий по гостиничному комплексу или иному средству размещения для заинтересованных лиц;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оказывать помощь гостям в чрезвычайных ситуациях, в том числе при эвакуации из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принимать и отвечать на гостевые запросы, в том числе по телефону, и контролировать их выполнение службами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информацию об услугах по бронированию авиабилетов и железнодорожных билетов, билетов в театры, на музыкальные и развлекательные мероприятия, в музеи, по аренде автомобилей, такси, по работе горо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дского транспорта, об офисных услугах, о работе магазинов, ресторанов, баров, казино, медицинских учреждений и о прочих услугах, оказываемых организациями в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дополнительные услуги, связанные с выполнением запросов и просьб гостей по услугам в отеле и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нахождения в гостиничном комплексе или ином средстве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Продажа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5,6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рекламной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механизмы информирования гостей об актуальных акциях и предложениях отеля;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администратора в продвижении и максимизации продаж и прибыли;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стратегию продаж, используемой отелем;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ключевые показатели эффективности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управления доходами.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Рекламировать и продавать услуги гостям на разных этапах их обслуживания;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управления доходами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активных продаж: ап-сейл, кросс-сейл;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продажи дополнительных услуг;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статистические данные с использованием специализированных программных комплексов для целей стратегического планирования продаж;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Рассчитывать ключевые показатели эффективности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Выезд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6,2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финансово-кредитную политику (фкп)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работы специализированных программных комплексов, используемых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применения расчетного часа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приема и хранения денежных средств;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7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 и выдачи багажа гостей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счета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выезда из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оформлять документы, подтверждающие пребывание гостя в гостиничном комплексе или ином средстве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прием, хранение и передачу денежных средств.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2,4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9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управления охраной труда в организации;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9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9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обязанности работников в области охраны труда;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9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фактические или потенциальные последствия собственной деятельности (или бездействия) и их влияние на уровень безопасности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последствия несоблюдения технологических процессов и производственных инструкций подчиненными работниками (персоналом)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разъяснять подчиненным работникам (персоналу) содержание установленных требований охраны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вырабатывать и контролировать навыки, необходимые для достижения требуемого уровня безопасности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0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вести документацию установленного образца по охране труда, соблюдать сроки ее заполнения и условия хранения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Бережливое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1,2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1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ценности и принципов бережливого производства;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1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ценность с точки зрения потребителя в терминах продукции и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ebebe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numPr>
                <w:ilvl w:val="0"/>
                <w:numId w:val="2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переносить преимущества бережливого производства на конкретные условия. Демонстрировать то, каких улучшений можно достигнуть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br w:type="page" w:clear="all"/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73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6" w:name="_Toc181787359"/>
      <w:r/>
      <w:bookmarkStart w:id="7" w:name="_Toc78885655"/>
      <w:r>
        <w:rPr>
          <w:rFonts w:ascii="Times New Roman" w:hAnsi="Times New Roman"/>
          <w:szCs w:val="28"/>
        </w:rPr>
        <w:t xml:space="preserve">1.3. ТРЕБОВАНИЯ К СХЕМЕ ОЦЕНКИ</w:t>
      </w:r>
      <w:bookmarkEnd w:id="6"/>
      <w:r/>
      <w:bookmarkEnd w:id="7"/>
      <w:r/>
      <w:r>
        <w:rPr>
          <w:rFonts w:ascii="Times New Roman" w:hAnsi="Times New Roman"/>
          <w:szCs w:val="28"/>
        </w:rPr>
      </w:r>
    </w:p>
    <w:p>
      <w:pPr>
        <w:pStyle w:val="834"/>
        <w:widowControl w:val="true"/>
        <w:pBdr/>
        <w:spacing/>
        <w:ind w:firstLine="709"/>
        <w:contextualSpacing w:val="tru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34"/>
        <w:widowControl w:val="true"/>
        <w:pBdr/>
        <w:spacing/>
        <w:ind w:firstLine="709"/>
        <w:contextualSpacing w:val="true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</w:r>
    </w:p>
    <w:p>
      <w:pPr>
        <w:pStyle w:val="834"/>
        <w:widowControl w:val="true"/>
        <w:pBdr/>
        <w:spacing/>
        <w:ind/>
        <w:contextualSpacing w:val="true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требований компетенции в критерии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834"/>
        <w:widowControl w:val="true"/>
        <w:pBdr/>
        <w:spacing/>
        <w:ind/>
        <w:contextualSpacing w:val="tru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Style w:val="840"/>
        <w:tblW w:w="50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04"/>
        <w:gridCol w:w="671"/>
        <w:gridCol w:w="1724"/>
        <w:gridCol w:w="1691"/>
        <w:gridCol w:w="1692"/>
        <w:gridCol w:w="1555"/>
        <w:gridCol w:w="979"/>
      </w:tblGrid>
      <w:tr>
        <w:trPr>
          <w:jc w:val="center"/>
          <w:trHeight w:val="1519"/>
        </w:trPr>
        <w:tc>
          <w:tcPr>
            <w:gridSpan w:val="6"/>
            <w:shd w:val="clear" w:color="auto" w:fill="92d050"/>
            <w:tcBorders/>
            <w:tcW w:w="44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Критерий/Модуль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92d050"/>
            <w:tcBorders/>
            <w:tcW w:w="503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Итого баллов за раздел ТРЕБО-ВАНИЙ КОМПЕ-ТЕНЦИИ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Разделы ТРЕБОВАНИЙ КОМПЕТЕН- ЦИИ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92d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00b050"/>
            <w:tcBorders/>
            <w:tcW w:w="88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00b050"/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00b050"/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00b050"/>
            <w:tcBorders/>
            <w:tcW w:w="80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00b050"/>
            <w:tcBorders/>
            <w:tcW w:w="503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right="172" w:hanging="176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2,80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13,40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8,80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9,40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38,00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0,60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5,80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17,00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1,60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5,60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0,80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0,80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0,80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2,40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shd w:val="clear" w:color="auto" w:fill="92d050"/>
            <w:tcBorders/>
            <w:tcW w:w="722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00b050"/>
            <w:tcBorders/>
            <w:tcW w:w="345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0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tcBorders/>
            <w:tcW w:w="88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0,40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0,40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0,40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bottom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1,20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49"/>
        </w:trPr>
        <w:tc>
          <w:tcPr>
            <w:gridSpan w:val="2"/>
            <w:shd w:val="clear" w:color="auto" w:fill="00b050"/>
            <w:tcBorders/>
            <w:tcW w:w="106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Итого баллов за критерий/модуль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/>
            <w:tcW w:w="887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26,6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26,8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7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27,40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80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19,20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1f1f1" w:themeFill="background1" w:themeFillShade="F2"/>
            <w:tcBorders/>
            <w:tcW w:w="503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834"/>
        <w:widowControl w:val="true"/>
        <w:pBdr/>
        <w:spacing/>
        <w:ind/>
        <w:contextualSpacing w:val="tru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73"/>
        <w:pBdr/>
        <w:spacing w:after="0" w:before="0"/>
        <w:ind w:firstLine="709"/>
        <w:contextualSpacing w:val="true"/>
        <w:rPr>
          <w:rFonts w:ascii="Times New Roman" w:hAnsi="Times New Roman"/>
          <w:szCs w:val="28"/>
        </w:rPr>
      </w:pPr>
      <w:r/>
      <w:bookmarkStart w:id="8" w:name="_Toc126654134"/>
      <w:r/>
      <w:bookmarkStart w:id="9" w:name="_Toc181787360"/>
      <w:r>
        <w:rPr>
          <w:rFonts w:ascii="Times New Roman" w:hAnsi="Times New Roman"/>
          <w:szCs w:val="28"/>
        </w:rPr>
        <w:t xml:space="preserve">1.4. СПЕЦИФИКАЦИЯ ОЦЕНКИ КОМПЕТЕНЦИИ</w:t>
      </w:r>
      <w:bookmarkEnd w:id="8"/>
      <w:r/>
      <w:bookmarkEnd w:id="9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Конкурсного задания будет основываться на критериях, указанных в таблице №3: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4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3003"/>
        <w:gridCol w:w="6027"/>
      </w:tblGrid>
      <w:tr>
        <w:trPr/>
        <w:tc>
          <w:tcPr>
            <w:gridSpan w:val="2"/>
            <w:shd w:val="clear" w:color="auto" w:fill="92d050"/>
            <w:tcBorders/>
            <w:tcW w:w="1851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Критерий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92d050"/>
            <w:tcBorders/>
            <w:tcW w:w="314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Методика проверки навыков в критерии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Модуль А. Помощь гостю: предоставление информации об отеле. Помощь гостю во время проживания.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Оценивается умение в достаточном для гостя количестве предоставлять релевантную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запросу информацию касательно месторасположения отеля, услугах отеля, продвигать услуги отеля, предоставлять туристическую информацию. Оценивается умение адекватно обрабатывать запросы гостей, навыки межличностной коммуникации, в т.ч. на английском языке.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Модуль Б. Помощь гостю: предоставление туристической информации об отеле. Заселение гостя без бронирования (Walk-in).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Оценивается умение в достаточном для гостя количестве предоставлять релевантную запросу туристическую информацию, знание алгоритма стандартной операции -  заезда без предварительного бронирования, умение осуществлять и регистрировать заезд гостя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walk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используя АСУ; умение продвигать услуги отеля; навыки межличностной коммуникации, в т.ч. на английском языке.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Модуль В. Выезд гостя с бронированием. Помощь гостю в экстраординарных ситуациях.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Оценивается знание алгоритма стандартных операций -  выезда и бронирования,  умение осуществлять бронирование и регистрировать выезд гостя с использованием АСУ, ум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ение проводить кассовые операции; умение продвигать услуги отеля; умение адекватно обрабатывать жалобы гостей, оказывать помощь гостям в экстраординарных ситуациях, координировать службы отеля; навыки межличностной коммуникации, в т.ч. на английском языке.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Модуль Е. Деловая переписка.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Оценивается знание этикета деловой переписки, умение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составлять и корректно оформлять электронные и официальные письма, адекватно обрабатывать запросы и жалобы гостей и предоставлять релевантную информацию, принимать адекватные решения в предоставлении компенсации; грамматика русского и английского языков.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</w:tbl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873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0" w:name="_Toc181787361"/>
      <w:r>
        <w:rPr>
          <w:rFonts w:ascii="Times New Roman" w:hAnsi="Times New Roman"/>
          <w:szCs w:val="28"/>
        </w:rPr>
        <w:t xml:space="preserve">1.5. КОНКУРСНОЕ ЗАДАНИЕ</w:t>
      </w:r>
      <w:bookmarkEnd w:id="10"/>
      <w:r/>
      <w:r>
        <w:rPr>
          <w:rFonts w:ascii="Times New Roman" w:hAnsi="Times New Roman"/>
          <w:szCs w:val="2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Возрастной ценз: 14+ (школьники).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Инвариантная часть: 4 ч.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 3 дня.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включает оценку по каждому из разделов требований компетенции.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1" w:name="_Toc181787362"/>
      <w:r>
        <w:rPr>
          <w:rFonts w:ascii="Times New Roman" w:hAnsi="Times New Roman"/>
          <w:szCs w:val="28"/>
        </w:rPr>
        <w:t xml:space="preserve">1.5.1. Разработка/выбор конкурсного задания</w:t>
      </w:r>
      <w:bookmarkEnd w:id="11"/>
      <w:r/>
      <w:r>
        <w:rPr>
          <w:rFonts w:ascii="Times New Roman" w:hAnsi="Times New Roman"/>
          <w:szCs w:val="28"/>
        </w:rPr>
      </w:r>
    </w:p>
    <w:p>
      <w:pPr>
        <w:pBdr/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4 модулей, включает обязательную к выполнению часть (инвариант) – 4 модуля. Общее количество баллов конкурсного задания составляет 100.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Общее количество баллов конкурсного задания составляет 100.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73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2" w:name="_Toc181787363"/>
      <w:r/>
      <w:bookmarkStart w:id="13" w:name="_Toc126654137"/>
      <w:r/>
      <w:bookmarkStart w:id="14" w:name="_Toc78885643"/>
      <w:r>
        <w:rPr>
          <w:rFonts w:ascii="Times New Roman" w:hAnsi="Times New Roman"/>
          <w:szCs w:val="28"/>
        </w:rPr>
        <w:t xml:space="preserve">1.5.2. Структура модулей конкурсного задания</w:t>
      </w:r>
      <w:bookmarkEnd w:id="12"/>
      <w:r/>
      <w:bookmarkEnd w:id="13"/>
      <w:r/>
      <w:bookmarkEnd w:id="14"/>
      <w:r>
        <w:rPr>
          <w:rFonts w:ascii="Times New Roman" w:hAnsi="Times New Roman"/>
          <w:szCs w:val="28"/>
        </w:rPr>
      </w:r>
    </w:p>
    <w:p>
      <w:pPr>
        <w:pBdr/>
        <w:spacing w:after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/>
      <w:bookmarkStart w:id="15" w:name="_Toc126654138"/>
      <w:r/>
      <w:bookmarkStart w:id="16" w:name="_Toc181787364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Время на выполнение модуля 20 мин.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Задания: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Style w:val="882"/>
        <w:numPr>
          <w:ilvl w:val="0"/>
          <w:numId w:val="23"/>
        </w:numPr>
        <w:pBdr/>
        <w:spacing w:after="0"/>
        <w:ind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Англ. яз. Предоставление информации об отеле.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882"/>
        <w:numPr>
          <w:ilvl w:val="0"/>
          <w:numId w:val="23"/>
        </w:numPr>
        <w:pBdr/>
        <w:spacing w:after="0"/>
        <w:ind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Помощь гостю во время проживания, туристическая информация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20 мин.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Style w:val="882"/>
        <w:numPr>
          <w:ilvl w:val="0"/>
          <w:numId w:val="24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Англ.</w:t>
      </w:r>
      <w:r>
        <w:rPr>
          <w:rFonts w:ascii="Times New Roman" w:hAnsi="Times New Roman"/>
          <w:b/>
          <w:i/>
          <w:spacing w:val="-4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 xml:space="preserve">яз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Помощь гостю во время проживания, предоставление туристической информации</w:t>
      </w:r>
      <w:r>
        <w:rPr>
          <w:rFonts w:ascii="Times New Roman" w:hAnsi="Times New Roman"/>
          <w:sz w:val="28"/>
        </w:rPr>
      </w:r>
    </w:p>
    <w:p>
      <w:pPr>
        <w:pStyle w:val="882"/>
        <w:numPr>
          <w:ilvl w:val="0"/>
          <w:numId w:val="24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Заезд без предварительного бронирования.</w:t>
      </w:r>
      <w:r>
        <w:rPr>
          <w:rFonts w:ascii="Times New Roman" w:hAnsi="Times New Roman"/>
          <w:sz w:val="28"/>
        </w:rPr>
      </w:r>
    </w:p>
    <w:p>
      <w:pPr>
        <w:pBdr/>
        <w:spacing w:after="0"/>
        <w:ind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Модуль В.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 w:left="360"/>
        <w:jc w:val="both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/>
          <w:bCs/>
          <w:sz w:val="28"/>
          <w:szCs w:val="28"/>
        </w:rPr>
        <w:t xml:space="preserve"> 20 мин.</w:t>
      </w:r>
      <w:r>
        <w:rPr>
          <w:rFonts w:ascii="Times New Roman" w:hAnsi="Times New Roman" w:eastAsia="Times New Roman"/>
          <w:bCs/>
          <w:sz w:val="28"/>
          <w:szCs w:val="28"/>
        </w:rPr>
      </w:r>
    </w:p>
    <w:p>
      <w:pPr>
        <w:pStyle w:val="882"/>
        <w:numPr>
          <w:ilvl w:val="0"/>
          <w:numId w:val="25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 xml:space="preserve">яз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Выезд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гостя, бронирование.</w:t>
      </w:r>
      <w:r>
        <w:rPr>
          <w:rFonts w:ascii="Times New Roman" w:hAnsi="Times New Roman"/>
          <w:sz w:val="28"/>
        </w:rPr>
      </w:r>
    </w:p>
    <w:p>
      <w:pPr>
        <w:pStyle w:val="882"/>
        <w:numPr>
          <w:ilvl w:val="0"/>
          <w:numId w:val="25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Экстраординарная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ситуация.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pBdr/>
        <w:spacing w:after="0"/>
        <w:ind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Модуль Г.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  Деловая переписка.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Bdr/>
        <w:spacing w:after="0" w:line="276" w:lineRule="auto"/>
        <w:ind w:left="360"/>
        <w:jc w:val="both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/>
          <w:bCs/>
          <w:sz w:val="28"/>
          <w:szCs w:val="28"/>
        </w:rPr>
        <w:t xml:space="preserve"> 90+90 мин.</w:t>
      </w:r>
      <w:r>
        <w:rPr>
          <w:rFonts w:ascii="Times New Roman" w:hAnsi="Times New Roman" w:eastAsia="Times New Roman"/>
          <w:bCs/>
          <w:sz w:val="28"/>
          <w:szCs w:val="28"/>
        </w:rPr>
      </w:r>
    </w:p>
    <w:p>
      <w:pPr>
        <w:pStyle w:val="882"/>
        <w:numPr>
          <w:ilvl w:val="0"/>
          <w:numId w:val="26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запрос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бронирования. </w:t>
      </w:r>
      <w:r>
        <w:rPr>
          <w:rFonts w:ascii="Times New Roman" w:hAnsi="Times New Roman"/>
          <w:sz w:val="28"/>
        </w:rPr>
      </w:r>
    </w:p>
    <w:p>
      <w:pPr>
        <w:pStyle w:val="882"/>
        <w:numPr>
          <w:ilvl w:val="0"/>
          <w:numId w:val="26"/>
        </w:numPr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 xml:space="preserve">яз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pacing w:val="-3"/>
          <w:sz w:val="28"/>
        </w:rPr>
        <w:t xml:space="preserve"> Ответ на жалобу гостя.</w:t>
      </w:r>
      <w:r>
        <w:rPr>
          <w:rFonts w:ascii="Times New Roman" w:hAnsi="Times New Roman"/>
          <w:sz w:val="28"/>
        </w:rPr>
      </w:r>
    </w:p>
    <w:p>
      <w:pPr>
        <w:pStyle w:val="873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СПЕЦИАЛЬНЫЕ ПРАВИЛА КОМПЕТЕНЦИИ</w:t>
      </w:r>
      <w:r>
        <w:rPr>
          <w:rFonts w:ascii="Times New Roman" w:hAnsi="Times New Roman"/>
          <w:i/>
          <w:color w:val="000000"/>
          <w:szCs w:val="28"/>
          <w:vertAlign w:val="superscript"/>
        </w:rPr>
        <w:footnoteReference w:id="3"/>
      </w:r>
      <w:bookmarkEnd w:id="15"/>
      <w:r/>
      <w:bookmarkEnd w:id="16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Изложенные ниже правила распространяются на основную возрастную категорию и категорию юниоров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Чемпионат по компетенции «Администрирование отеля» представляет собой моделирование рабочей смены администратора/старшего смены СПиР и состоит из двух часте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интерактивная - взаимодействие с гостями непосредственно на стойке СПиР и зоне лобби отеля; письменная – деловая переписка, распределение номерного фонда, работа с отчетами ночного аудита, вычисление основных показателей работы отеля в зоне Back-office.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Задания являются тайными.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интерактивной части контекст заданий становится доступен конкурсантам непосредственно во время взаимодействия с актерами. На ознакомление с заданиями письменной части конкурсантам дается 15 минут. Это время не учитывается как время выполнения задания.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 заданий, предполагающих устную и письменную коммуникацию с гостями, выполняется на английском языке.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ПОДГОТОВКА АКТЕРОВ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менее, чем за 4 дня до начала соревновательной части ГЭ запрашивает у менеджера компетенции сценарий и письменные задания, затем с индустриальными экспертами (согласно регламенту; строго конфиденциально) вносят в него 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письменные задания необходимые изменения в соответствии с условиями моделируемого отеля. Получив задания и сценарий  ГЭ (и другие эксперты) обязуется соблюдать полную конфиденциальность данных документов в отношении всех конкурсантов чемпионата. Вместе с э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тим, ГЭ необходимо самостоятельно или с помощью представителя площадки (далее супервайзера актеров) начать подготовку статистов-актеров, привлеченных для чемпионата по компетенции. Актеры, получив сценарий, обязуются хранить в тайне любой контекст заданий.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Актеры, получившие задания на английском языке, должны владеть им на уровне не ниже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intermediate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1). При установленном факте разглашения контекста заданий конкурсантам или экспертам результаты определенного конкурсанта могут быть аннулированы, равно как и результаты чемпионата в зависимости от ситуации.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Дополнительные инструкции для актеров изложены в сценарии.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КОНКУРСАНТЫ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зоне стойки СПиР конкурсанты выполняют модули последовательно один за другим согласно жеребьевке (см. план проведения чемпионата по компетенции).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ожидании своей очереди выхо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 на площадку стойки СПиР конкурсанты находятся в комнате ожидания конкурсантов № 1. На площадку конкурсанта провожает волонтер. Все передвижения конкурсанта до выполнения всех заданий до обеда и после обеда осуществляются в сопровождении волонтера. В обе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комнатах ожидания и на площадке для выполнения письменных заданий должен присутствовать волонтер или эксперт из числа экспертов-наставников, контролирующий отсутствие у конкурсантов запрещенных предметов общения на предмет контекста конкурсных заданий.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Когда все конкурсанты находятся в комнате ожидания и у экспертов наставников нет возможности с ними контактировать ГЭ/супервайзер оценочной группы озвучивает контекст заданий оценочной группе и экспертам-наставникам, находящимся на площадке.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выполнением модуля ГЭ/супервайзер оценочной группы оглашает конкурсанту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заданий в модуле и время на их выполнение. Конкурсанту дается одна минута, чтобы подготовится к выполнению модуля. По истечении одной минуты или после того, как конкурсант будет готов, дается старт отсчета времени на площадке появляются актеры.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актер совершает ошибку, которая препятствует дальнейшему развитию ситуации/оценке аспектов, то ГЭ /супервайзер оценочной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группы должен попросить остановить отсчет времени, поправить актера таким образом, чтобы конкурсант не знал дальнейшего контекста ситуации, затем дать сигнал к возобновлению отсчета времени. Копия сценария должна находиться у ответственного лица на руках.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каждого задания в модуле, конкурсанту необходимо сообщить экспертам о готовности к выполнению следующего задания. С момента начала выполнения следующего задания, возврат к предыдущему заданию в работе с гостем невозможен.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возвращения с площадки интерактивных модул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 конкурсанты возвращаются в комнату ожидания № 2, затем, когда наступает их смена (см. план проведения чемпионата по компетенции), конкурсанты направляются на площадку для выполнения письменных заданий. Конкурсанты первой смены интерактивной площадки,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выполнившие модуль к этому времени, могут по мере выполнения ими модулей присоединяться к конкурсантам на площадке Бэк-офис, при необходимости предварительно взяв перерыв до 20 мин.; в данном случае старт отсчета времени конкурсантом дается индивидуально.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площадке для выполнения письменных заданий конкурсанты могут работать все как вместе, так и посменно (см. план проведения чемпионата по компетенции).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началом модуля ГЭ /ответственный эксперт, назначенный ГЭ, проводят инструктаж по выполнению заданий и дают старт отсчета времени.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выполнения письменных заданий первой сменой конкурсантов и их возвращения в комнату ожидания № 1. У конкурсантов, выполнивших все задания до обеда, наступает свободное время. В это время наблюдать за соперниками запрещено.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по каким-то причинам не все конкурсанты успели выполнить модуль до обеденного перерыва, то во время обеденного перерыва конкурсантам запрещено общаться со своими экс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пертами-наставниками. На обед конкурсанты и их наставники обязаны идти в сопровождении эксперта-наставника другого конкурсанта. Конкурсанты, выполнившие все задания чемпионатного дня, могут покидать площадку компетенции. Наблюдать за соперниками запрещено.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ЭКСПЕРТЫ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Экспертам-наставникам запрещено делать фотографии и видеозаписи конкурсантов во время выполнения заданий.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Эксперты, производящие оценку аспектов на английском языке, должны владеть им на уровне не ниже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upper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intermediate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2) либо могут быть привлечены преподаватели английского языка в качестве консультантов. Данные консультанты в голосованиях экспертов не принимают участия.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флеш-накопителей/карт памяти запрещено для всех, кроме ГЭ ответственных и назначенных ГЭ экспертов.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3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17" w:name="_Toc78885659"/>
      <w:r/>
      <w:bookmarkStart w:id="18" w:name="_Toc181787365"/>
      <w:r>
        <w:rPr>
          <w:rFonts w:ascii="Times New Roman" w:hAnsi="Times New Roman"/>
          <w:color w:val="000000"/>
          <w:szCs w:val="28"/>
        </w:rPr>
        <w:t xml:space="preserve">2.1. </w:t>
      </w:r>
      <w:bookmarkEnd w:id="17"/>
      <w:r>
        <w:rPr>
          <w:rFonts w:ascii="Times New Roman" w:hAnsi="Times New Roman"/>
          <w:szCs w:val="28"/>
        </w:rPr>
        <w:t xml:space="preserve">ЛИЧНЫЙ ИНСТРУМЕНТ КОНКУРСАНТА</w:t>
      </w:r>
      <w:bookmarkEnd w:id="18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Личный инструмент нулевой. Ниже изложены требования к внешнему виду конкурсантов.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hd w:val="clear" w:color="auto" w:fill="ffffff"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Мужчины: темный пиджак, брюки классические со стрелкой (одного цвета и ткани с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пиджаком) белая рубашка с длинными рукавами, галстук, ремень без декоративного орнамента и классической пряжкой без изображений и логотипов на ней, носки темные, начищенные темные туфли без ярких выделяющихся элементов декора, идентификационная информация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а на груди в виде бейджа, содержащая следующую информацию: фамилия, имя, регион, поле для указания порядкового номера согласно жеребьевке. Короткие и чистые ногти, короткие волосы либо классическая мужская стрижка,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гладко выбритый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. Не допускается ноше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ние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украшений, кроме обручального кольца. Допускается ношение классических часов. Конкурсант обязан соблюдать чистоту и выглядеть опрятно.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Женщины: темный пиджак, брюки классические со стрелкой/юбка (одного цвета и ткани с пиджаком), рубашка с длинными рукавами, шарф, прозрачные колготки или чулки, темные начищенные туфли, идентификационная информация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а на груди в ви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де бейджа, содержащая следующую информацию: фамилия, имя, регион, поле для указания порядкового номера согласно жеребьевке. Юбка не должна быть выше колен. Разрез на юбке разрешен, поскольку облегчает движения, но должен быть не выше колен. Избегайте ярких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 цветов в одежде и аксессуарах, придерживаясь коричневых, черных или темно-серых оттенков. Ношение белых туфель недопустимо. Предпочтительным материалом для туфель является кожа, темный текстиль или микрофибра. Высокие каблуки неприемлемы, высота каблука д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олжна варьироваться от 3 до 5 см. Неприемлемо ношение балеток на плоской подошве, сандалий и туфель на шпильке. Не допускается ношение туфель с открытым носком, массивным каблуком и туфель на платформе. Ногти короткие и ухоженные, маникюр – нейтральные цве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та или френч, короткие волосы (до подбородка) или собранные в пучок, серьги маленькие без висящих деталей и ярких камней, без колец (кроме обручального кольца) и ожерелий. Макияж нейтральный, легкий. Конкурсант обязан соблюдать чистоту и выглядеть опрятно.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3"/>
        <w:pBdr/>
        <w:spacing w:after="0" w:before="0"/>
        <w:ind w:firstLine="709"/>
        <w:contextualSpacing w:val="true"/>
        <w:jc w:val="both"/>
        <w:rPr>
          <w:rFonts w:ascii="Times New Roman" w:hAnsi="Times New Roman"/>
          <w:bCs/>
          <w:caps/>
          <w:szCs w:val="28"/>
        </w:rPr>
      </w:pPr>
      <w:r/>
      <w:bookmarkStart w:id="19" w:name="_Toc181787366"/>
      <w:r/>
      <w:bookmarkStart w:id="20" w:name="_Toc78885660"/>
      <w:r/>
      <w:bookmarkStart w:id="21" w:name="_Toc126654140"/>
      <w:r>
        <w:rPr>
          <w:rFonts w:ascii="Times New Roman" w:hAnsi="Times New Roman"/>
          <w:caps/>
          <w:szCs w:val="28"/>
        </w:rPr>
        <w:t xml:space="preserve">2.2.</w:t>
      </w:r>
      <w:r>
        <w:rPr>
          <w:rFonts w:ascii="Times New Roman" w:hAnsi="Times New Roman"/>
          <w:i/>
          <w:caps/>
          <w:szCs w:val="28"/>
        </w:rPr>
        <w:t xml:space="preserve"> </w:t>
      </w:r>
      <w:r>
        <w:rPr>
          <w:rFonts w:ascii="Times New Roman" w:hAnsi="Times New Roman"/>
          <w:caps/>
          <w:szCs w:val="28"/>
        </w:rPr>
        <w:t xml:space="preserve">Материалы, оборудование и инструменты, запрещенные на площадке</w:t>
      </w:r>
      <w:bookmarkEnd w:id="19"/>
      <w:r/>
      <w:bookmarkEnd w:id="20"/>
      <w:r/>
      <w:bookmarkEnd w:id="21"/>
      <w:r/>
      <w:r>
        <w:rPr>
          <w:rFonts w:ascii="Times New Roman" w:hAnsi="Times New Roman"/>
          <w:bCs/>
          <w:caps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Любое оборудование, не предусмотренное ИЛ.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Шаблоны писем, заготовки заданий, шпаргалки и прочие записи в электронном и печатном виде запрещены.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2"/>
        <w:pBdr/>
        <w:spacing w:after="0" w:before="0"/>
        <w:ind/>
        <w:contextualSpacing w:val="true"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22" w:name="_Toc181787367"/>
      <w:r>
        <w:rPr>
          <w:rFonts w:ascii="Times New Roman" w:hAnsi="Times New Roman"/>
          <w:color w:val="auto"/>
          <w:sz w:val="28"/>
          <w:szCs w:val="28"/>
        </w:rPr>
        <w:t xml:space="preserve">3. Приложения</w:t>
      </w:r>
      <w:bookmarkEnd w:id="22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№1. Инструкция по заполнению матрицы конкурсного задания;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№2. Матрица конкурсного задания;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№3. Инструкция по охране труда по компетенции «Администрирование отеля»;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№4. Чек-лист компетенции;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№5. Информационный буклет отеля;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№6. Сценарий (для ГЭ);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№7. Письменные задания (для ГЭ).</w:t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h="16838" w:orient="portrait" w:w="11906"/>
      <w:pgMar w:top="1134" w:right="851" w:bottom="1134" w:left="1701" w:header="709" w:footer="709" w:gutter="0"/>
      <w:pgNumType w:start="1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 Unicode MS">
    <w:panose1 w:val="020B0606020202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3961735"/>
      <w:docPartObj>
        <w:docPartGallery w:val="autotext"/>
      </w:docPartObj>
      <w:rPr/>
    </w:sdtPr>
    <w:sdtContent>
      <w:p>
        <w:pPr>
          <w:pStyle w:val="838"/>
          <w:pBdr/>
          <w:spacing/>
          <w:ind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19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88257523"/>
      <w:docPartObj>
        <w:docPartGallery w:val="autotext"/>
      </w:docPartObj>
      <w:rPr/>
    </w:sdtPr>
    <w:sdtContent>
      <w:p>
        <w:pPr>
          <w:pStyle w:val="838"/>
          <w:pBdr/>
          <w:spacing/>
          <w:ind/>
          <w:jc w:val="right"/>
          <w:rPr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before="0" w:line="259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before="0" w:line="259" w:lineRule="auto"/>
        <w:ind/>
        <w:rPr/>
      </w:pPr>
      <w:r>
        <w:continuationSeparator/>
      </w:r>
      <w:r/>
    </w:p>
  </w:footnote>
  <w:footnote w:id="2"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</w:p>
  </w:footnote>
  <w:footnote w:id="3"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88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tabs>
          <w:tab w:val="left" w:leader="none" w:pos="720"/>
        </w:tabs>
        <w:spacing/>
        <w:ind w:hanging="360" w:left="720"/>
      </w:pPr>
      <w:pStyle w:val="867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left" w:leader="none" w:pos="720"/>
        </w:tabs>
        <w:spacing/>
        <w:ind w:hanging="360" w:left="720"/>
      </w:pPr>
      <w:pStyle w:val="879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6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"/>
      <w:numFmt w:val="bullet"/>
      <w:pPr>
        <w:pBdr/>
        <w:tabs>
          <w:tab w:val="left" w:leader="none" w:pos="360"/>
        </w:tabs>
        <w:spacing/>
        <w:ind w:hanging="360" w:left="360"/>
      </w:pPr>
      <w:pStyle w:val="857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"/>
      <w:numFmt w:val="bullet"/>
      <w:pPr>
        <w:pBdr/>
        <w:spacing/>
        <w:ind w:hanging="360" w:left="895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61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335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055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77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495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215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93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655"/>
      </w:pPr>
      <w:rPr>
        <w:rFonts w:hint="default" w:ascii="Wingdings" w:hAnsi="Wingdings"/>
      </w:rPr>
      <w:start w:val="1"/>
      <w:suff w:val="tab"/>
    </w:lvl>
  </w:abstractNum>
  <w:abstractNum w:abstractNumId="20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%1)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2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3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19"/>
  </w:num>
  <w:num w:numId="9">
    <w:abstractNumId w:val="3"/>
  </w:num>
  <w:num w:numId="10">
    <w:abstractNumId w:val="20"/>
  </w:num>
  <w:num w:numId="11">
    <w:abstractNumId w:val="7"/>
  </w:num>
  <w:num w:numId="12">
    <w:abstractNumId w:val="9"/>
  </w:num>
  <w:num w:numId="13">
    <w:abstractNumId w:val="0"/>
  </w:num>
  <w:num w:numId="14">
    <w:abstractNumId w:val="15"/>
  </w:num>
  <w:num w:numId="15">
    <w:abstractNumId w:val="12"/>
  </w:num>
  <w:num w:numId="16">
    <w:abstractNumId w:val="25"/>
  </w:num>
  <w:num w:numId="17">
    <w:abstractNumId w:val="24"/>
  </w:num>
  <w:num w:numId="18">
    <w:abstractNumId w:val="16"/>
  </w:num>
  <w:num w:numId="19">
    <w:abstractNumId w:val="8"/>
  </w:num>
  <w:num w:numId="20">
    <w:abstractNumId w:val="23"/>
  </w:num>
  <w:num w:numId="21">
    <w:abstractNumId w:val="11"/>
  </w:num>
  <w:num w:numId="22">
    <w:abstractNumId w:val="18"/>
  </w:num>
  <w:num w:numId="23">
    <w:abstractNumId w:val="21"/>
  </w:num>
  <w:num w:numId="24">
    <w:abstractNumId w:val="1"/>
  </w:num>
  <w:num w:numId="25">
    <w:abstractNumId w:val="2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819"/>
    <w:link w:val="81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19"/>
    <w:link w:val="81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19"/>
    <w:link w:val="81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19"/>
    <w:link w:val="81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19"/>
    <w:link w:val="81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19"/>
    <w:link w:val="81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19"/>
    <w:link w:val="81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19"/>
    <w:link w:val="81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19"/>
    <w:link w:val="81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809"/>
    <w:next w:val="809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819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809"/>
    <w:next w:val="809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819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09"/>
    <w:next w:val="80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19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81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09"/>
    <w:next w:val="80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19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1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1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Strong"/>
    <w:basedOn w:val="819"/>
    <w:uiPriority w:val="22"/>
    <w:qFormat/>
    <w:pPr>
      <w:pBdr/>
      <w:spacing/>
      <w:ind/>
    </w:pPr>
    <w:rPr>
      <w:b/>
      <w:bCs/>
    </w:rPr>
  </w:style>
  <w:style w:type="character" w:styleId="174">
    <w:name w:val="Book Title"/>
    <w:basedOn w:val="81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819"/>
    <w:link w:val="833"/>
    <w:uiPriority w:val="99"/>
    <w:pPr>
      <w:pBdr/>
      <w:spacing/>
      <w:ind/>
    </w:pPr>
  </w:style>
  <w:style w:type="character" w:styleId="178">
    <w:name w:val="Footer Char"/>
    <w:basedOn w:val="819"/>
    <w:link w:val="838"/>
    <w:uiPriority w:val="99"/>
    <w:pPr>
      <w:pBdr/>
      <w:spacing/>
      <w:ind/>
    </w:pPr>
  </w:style>
  <w:style w:type="character" w:styleId="181">
    <w:name w:val="Footnote Text Char"/>
    <w:basedOn w:val="819"/>
    <w:link w:val="832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80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19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19"/>
    <w:uiPriority w:val="99"/>
    <w:semiHidden/>
    <w:unhideWhenUsed/>
    <w:pPr>
      <w:pBdr/>
      <w:spacing/>
      <w:ind/>
    </w:pPr>
    <w:rPr>
      <w:vertAlign w:val="superscript"/>
    </w:rPr>
  </w:style>
  <w:style w:type="paragraph" w:styleId="191">
    <w:name w:val="toc 4"/>
    <w:basedOn w:val="809"/>
    <w:next w:val="809"/>
    <w:uiPriority w:val="39"/>
    <w:unhideWhenUsed/>
    <w:pPr>
      <w:pBdr/>
      <w:spacing w:after="100"/>
      <w:ind w:left="660"/>
    </w:pPr>
  </w:style>
  <w:style w:type="paragraph" w:styleId="192">
    <w:name w:val="toc 5"/>
    <w:basedOn w:val="809"/>
    <w:next w:val="809"/>
    <w:uiPriority w:val="39"/>
    <w:unhideWhenUsed/>
    <w:pPr>
      <w:pBdr/>
      <w:spacing w:after="100"/>
      <w:ind w:left="880"/>
    </w:pPr>
  </w:style>
  <w:style w:type="paragraph" w:styleId="193">
    <w:name w:val="toc 6"/>
    <w:basedOn w:val="809"/>
    <w:next w:val="809"/>
    <w:uiPriority w:val="39"/>
    <w:unhideWhenUsed/>
    <w:pPr>
      <w:pBdr/>
      <w:spacing w:after="100"/>
      <w:ind w:left="1100"/>
    </w:pPr>
  </w:style>
  <w:style w:type="paragraph" w:styleId="194">
    <w:name w:val="toc 7"/>
    <w:basedOn w:val="809"/>
    <w:next w:val="809"/>
    <w:uiPriority w:val="39"/>
    <w:unhideWhenUsed/>
    <w:pPr>
      <w:pBdr/>
      <w:spacing w:after="100"/>
      <w:ind w:left="1320"/>
    </w:pPr>
  </w:style>
  <w:style w:type="paragraph" w:styleId="195">
    <w:name w:val="toc 8"/>
    <w:basedOn w:val="809"/>
    <w:next w:val="809"/>
    <w:uiPriority w:val="39"/>
    <w:unhideWhenUsed/>
    <w:pPr>
      <w:pBdr/>
      <w:spacing w:after="100"/>
      <w:ind w:left="1540"/>
    </w:pPr>
  </w:style>
  <w:style w:type="paragraph" w:styleId="196">
    <w:name w:val="toc 9"/>
    <w:basedOn w:val="809"/>
    <w:next w:val="809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809"/>
    <w:next w:val="809"/>
    <w:uiPriority w:val="99"/>
    <w:unhideWhenUsed/>
    <w:pPr>
      <w:pBdr/>
      <w:spacing w:after="0" w:afterAutospacing="0"/>
      <w:ind/>
    </w:pPr>
  </w:style>
  <w:style w:type="paragraph" w:styleId="809" w:default="1">
    <w:name w:val="Normal"/>
    <w:uiPriority w:val="0"/>
    <w:qFormat/>
    <w:pPr>
      <w:pBdr/>
      <w:spacing w:after="160" w:line="259" w:lineRule="auto"/>
      <w:ind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810">
    <w:name w:val="Heading 1"/>
    <w:basedOn w:val="809"/>
    <w:next w:val="809"/>
    <w:link w:val="847"/>
    <w:uiPriority w:val="0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811">
    <w:name w:val="Heading 2"/>
    <w:basedOn w:val="809"/>
    <w:next w:val="809"/>
    <w:link w:val="848"/>
    <w:uiPriority w:val="0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12">
    <w:name w:val="Heading 3"/>
    <w:basedOn w:val="809"/>
    <w:next w:val="809"/>
    <w:link w:val="849"/>
    <w:uiPriority w:val="0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813">
    <w:name w:val="Heading 4"/>
    <w:basedOn w:val="809"/>
    <w:next w:val="809"/>
    <w:link w:val="850"/>
    <w:uiPriority w:val="0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814">
    <w:name w:val="Heading 5"/>
    <w:basedOn w:val="809"/>
    <w:next w:val="809"/>
    <w:link w:val="851"/>
    <w:uiPriority w:val="0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15">
    <w:name w:val="Heading 6"/>
    <w:basedOn w:val="809"/>
    <w:next w:val="809"/>
    <w:link w:val="852"/>
    <w:uiPriority w:val="0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16">
    <w:name w:val="Heading 7"/>
    <w:basedOn w:val="809"/>
    <w:next w:val="809"/>
    <w:link w:val="853"/>
    <w:uiPriority w:val="0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817">
    <w:name w:val="Heading 8"/>
    <w:basedOn w:val="809"/>
    <w:next w:val="809"/>
    <w:link w:val="854"/>
    <w:uiPriority w:val="0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818">
    <w:name w:val="Heading 9"/>
    <w:basedOn w:val="809"/>
    <w:next w:val="809"/>
    <w:link w:val="855"/>
    <w:uiPriority w:val="0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819" w:default="1">
    <w:name w:val="Default Paragraph Font"/>
    <w:uiPriority w:val="1"/>
    <w:semiHidden/>
    <w:unhideWhenUsed/>
    <w:qFormat/>
    <w:pPr>
      <w:pBdr/>
      <w:spacing/>
      <w:ind/>
    </w:pPr>
  </w:style>
  <w:style w:type="table" w:styleId="820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21">
    <w:name w:val="FollowedHyperlink"/>
    <w:uiPriority w:val="0"/>
    <w:qFormat/>
    <w:pPr>
      <w:pBdr/>
      <w:spacing/>
      <w:ind/>
    </w:pPr>
    <w:rPr>
      <w:color w:val="800080"/>
      <w:u w:val="single"/>
    </w:rPr>
  </w:style>
  <w:style w:type="character" w:styleId="822">
    <w:name w:val="footnote reference"/>
    <w:uiPriority w:val="0"/>
    <w:qFormat/>
    <w:pPr>
      <w:pBdr/>
      <w:spacing/>
      <w:ind/>
    </w:pPr>
    <w:rPr>
      <w:vertAlign w:val="superscript"/>
    </w:rPr>
  </w:style>
  <w:style w:type="character" w:styleId="823">
    <w:name w:val="annotation reference"/>
    <w:basedOn w:val="819"/>
    <w:uiPriority w:val="0"/>
    <w:semiHidden/>
    <w:unhideWhenUsed/>
    <w:qFormat/>
    <w:pPr>
      <w:pBdr/>
      <w:spacing/>
      <w:ind/>
    </w:pPr>
    <w:rPr>
      <w:sz w:val="16"/>
      <w:szCs w:val="16"/>
    </w:rPr>
  </w:style>
  <w:style w:type="character" w:styleId="824">
    <w:name w:val="Emphasis"/>
    <w:basedOn w:val="819"/>
    <w:uiPriority w:val="20"/>
    <w:qFormat/>
    <w:pPr>
      <w:pBdr/>
      <w:spacing/>
      <w:ind/>
    </w:pPr>
    <w:rPr>
      <w:i/>
      <w:iCs/>
    </w:rPr>
  </w:style>
  <w:style w:type="character" w:styleId="825">
    <w:name w:val="Hyperlink"/>
    <w:uiPriority w:val="99"/>
    <w:qFormat/>
    <w:pPr>
      <w:pBdr/>
      <w:spacing/>
      <w:ind/>
    </w:pPr>
    <w:rPr>
      <w:color w:val="0000ff"/>
      <w:u w:val="single"/>
    </w:rPr>
  </w:style>
  <w:style w:type="character" w:styleId="826">
    <w:name w:val="page number"/>
    <w:uiPriority w:val="0"/>
    <w:qFormat/>
    <w:pPr>
      <w:pBdr/>
      <w:spacing/>
      <w:ind/>
    </w:pPr>
    <w:rPr>
      <w:rFonts w:ascii="Arial" w:hAnsi="Arial"/>
      <w:sz w:val="16"/>
    </w:rPr>
  </w:style>
  <w:style w:type="paragraph" w:styleId="827">
    <w:name w:val="Balloon Text"/>
    <w:basedOn w:val="809"/>
    <w:link w:val="846"/>
    <w:uiPriority w:val="0"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828">
    <w:name w:val="Body Text 2"/>
    <w:basedOn w:val="809"/>
    <w:link w:val="863"/>
    <w:uiPriority w:val="0"/>
    <w:semiHidden/>
    <w:qFormat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829">
    <w:name w:val="Caption"/>
    <w:basedOn w:val="809"/>
    <w:next w:val="809"/>
    <w:uiPriority w:val="0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830">
    <w:name w:val="annotation text"/>
    <w:basedOn w:val="809"/>
    <w:link w:val="886"/>
    <w:uiPriority w:val="0"/>
    <w:semiHidden/>
    <w:unhideWhenUsed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1">
    <w:name w:val="annotation subject"/>
    <w:basedOn w:val="830"/>
    <w:next w:val="830"/>
    <w:link w:val="887"/>
    <w:uiPriority w:val="0"/>
    <w:semiHidden/>
    <w:unhideWhenUsed/>
    <w:qFormat/>
    <w:pPr>
      <w:pBdr/>
      <w:spacing/>
      <w:ind/>
    </w:pPr>
    <w:rPr>
      <w:b/>
      <w:bCs/>
    </w:rPr>
  </w:style>
  <w:style w:type="paragraph" w:styleId="832">
    <w:name w:val="footnote text"/>
    <w:basedOn w:val="809"/>
    <w:link w:val="866"/>
    <w:uiPriority w:val="0"/>
    <w:qFormat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33">
    <w:name w:val="Header"/>
    <w:basedOn w:val="809"/>
    <w:link w:val="841"/>
    <w:uiPriority w:val="99"/>
    <w:unhideWhenUsed/>
    <w:qFormat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834">
    <w:name w:val="Body Text"/>
    <w:basedOn w:val="809"/>
    <w:link w:val="861"/>
    <w:uiPriority w:val="0"/>
    <w:semiHidden/>
    <w:qFormat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835">
    <w:name w:val="toc 1"/>
    <w:basedOn w:val="809"/>
    <w:next w:val="809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836">
    <w:name w:val="toc 3"/>
    <w:basedOn w:val="809"/>
    <w:next w:val="809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837">
    <w:name w:val="toc 2"/>
    <w:basedOn w:val="809"/>
    <w:next w:val="809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38">
    <w:name w:val="Footer"/>
    <w:basedOn w:val="809"/>
    <w:link w:val="842"/>
    <w:uiPriority w:val="99"/>
    <w:unhideWhenUsed/>
    <w:qFormat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839">
    <w:name w:val="Body Text Indent 2"/>
    <w:basedOn w:val="809"/>
    <w:link w:val="862"/>
    <w:uiPriority w:val="0"/>
    <w:semiHidden/>
    <w:qFormat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840">
    <w:name w:val="Table Grid"/>
    <w:basedOn w:val="820"/>
    <w:uiPriority w:val="39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1" w:customStyle="1">
    <w:name w:val="Верхний колонтитул Знак"/>
    <w:basedOn w:val="819"/>
    <w:link w:val="833"/>
    <w:uiPriority w:val="99"/>
    <w:qFormat/>
    <w:pPr>
      <w:pBdr/>
      <w:spacing/>
      <w:ind/>
    </w:pPr>
  </w:style>
  <w:style w:type="character" w:styleId="842" w:customStyle="1">
    <w:name w:val="Нижний колонтитул Знак"/>
    <w:basedOn w:val="819"/>
    <w:link w:val="838"/>
    <w:uiPriority w:val="99"/>
    <w:qFormat/>
    <w:pPr>
      <w:pBdr/>
      <w:spacing/>
      <w:ind/>
    </w:pPr>
  </w:style>
  <w:style w:type="paragraph" w:styleId="843">
    <w:name w:val="No Spacing"/>
    <w:link w:val="844"/>
    <w:uiPriority w:val="1"/>
    <w:qFormat/>
    <w:pPr>
      <w:pBdr/>
      <w:spacing w:after="0" w:line="240" w:lineRule="auto"/>
      <w:ind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styleId="844" w:customStyle="1">
    <w:name w:val="Без интервала Знак"/>
    <w:basedOn w:val="819"/>
    <w:link w:val="843"/>
    <w:uiPriority w:val="1"/>
    <w:qFormat/>
    <w:pPr>
      <w:pBdr/>
      <w:spacing/>
      <w:ind/>
    </w:pPr>
    <w:rPr>
      <w:rFonts w:eastAsiaTheme="minorEastAsia"/>
      <w:lang w:eastAsia="ru-RU"/>
    </w:rPr>
  </w:style>
  <w:style w:type="character" w:styleId="845">
    <w:name w:val="Placeholder Text"/>
    <w:basedOn w:val="819"/>
    <w:uiPriority w:val="99"/>
    <w:semiHidden/>
    <w:qFormat/>
    <w:pPr>
      <w:pBdr/>
      <w:spacing/>
      <w:ind/>
    </w:pPr>
    <w:rPr>
      <w:color w:val="808080"/>
    </w:rPr>
  </w:style>
  <w:style w:type="character" w:styleId="846" w:customStyle="1">
    <w:name w:val="Текст выноски Знак"/>
    <w:basedOn w:val="819"/>
    <w:link w:val="827"/>
    <w:uiPriority w:val="0"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847" w:customStyle="1">
    <w:name w:val="Заголовок 1 Знак"/>
    <w:basedOn w:val="819"/>
    <w:link w:val="810"/>
    <w:uiPriority w:val="0"/>
    <w:qFormat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848" w:customStyle="1">
    <w:name w:val="Заголовок 2 Знак"/>
    <w:basedOn w:val="819"/>
    <w:link w:val="811"/>
    <w:uiPriority w:val="0"/>
    <w:qFormat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849" w:customStyle="1">
    <w:name w:val="Заголовок 3 Знак"/>
    <w:basedOn w:val="819"/>
    <w:link w:val="812"/>
    <w:uiPriority w:val="0"/>
    <w:qFormat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850" w:customStyle="1">
    <w:name w:val="Заголовок 4 Знак"/>
    <w:basedOn w:val="819"/>
    <w:link w:val="813"/>
    <w:uiPriority w:val="0"/>
    <w:qFormat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851" w:customStyle="1">
    <w:name w:val="Заголовок 5 Знак"/>
    <w:basedOn w:val="819"/>
    <w:link w:val="814"/>
    <w:uiPriority w:val="0"/>
    <w:qFormat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852" w:customStyle="1">
    <w:name w:val="Заголовок 6 Знак"/>
    <w:basedOn w:val="819"/>
    <w:link w:val="815"/>
    <w:uiPriority w:val="0"/>
    <w:qFormat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853" w:customStyle="1">
    <w:name w:val="Заголовок 7 Знак"/>
    <w:basedOn w:val="819"/>
    <w:link w:val="816"/>
    <w:uiPriority w:val="0"/>
    <w:qFormat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54" w:customStyle="1">
    <w:name w:val="Заголовок 8 Знак"/>
    <w:basedOn w:val="819"/>
    <w:link w:val="817"/>
    <w:uiPriority w:val="0"/>
    <w:qFormat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855" w:customStyle="1">
    <w:name w:val="Заголовок 9 Знак"/>
    <w:basedOn w:val="819"/>
    <w:link w:val="818"/>
    <w:uiPriority w:val="0"/>
    <w:qFormat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styleId="856" w:customStyle="1">
    <w:name w:val="numbered list"/>
    <w:basedOn w:val="857"/>
    <w:uiPriority w:val="0"/>
    <w:qFormat/>
    <w:pPr>
      <w:pBdr/>
      <w:tabs>
        <w:tab w:val="left" w:leader="none" w:pos="360"/>
      </w:tabs>
      <w:spacing/>
      <w:ind/>
    </w:pPr>
  </w:style>
  <w:style w:type="paragraph" w:styleId="857" w:customStyle="1">
    <w:name w:val="bullet"/>
    <w:basedOn w:val="809"/>
    <w:uiPriority w:val="0"/>
    <w:qFormat/>
    <w:pPr>
      <w:numPr>
        <w:ilvl w:val="0"/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paragraph" w:styleId="858" w:customStyle="1">
    <w:name w:val="Doc subtitle1"/>
    <w:basedOn w:val="809"/>
    <w:link w:val="865"/>
    <w:uiPriority w:val="0"/>
    <w:qFormat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59" w:customStyle="1">
    <w:name w:val="Doc subtitle2"/>
    <w:basedOn w:val="809"/>
    <w:uiPriority w:val="0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860" w:customStyle="1">
    <w:name w:val="Doc title"/>
    <w:basedOn w:val="809"/>
    <w:uiPriority w:val="0"/>
    <w:qFormat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styleId="861" w:customStyle="1">
    <w:name w:val="Основной текст Знак"/>
    <w:basedOn w:val="819"/>
    <w:link w:val="834"/>
    <w:uiPriority w:val="0"/>
    <w:semiHidden/>
    <w:qFormat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character" w:styleId="862" w:customStyle="1">
    <w:name w:val="Основной текст с отступом 2 Знак"/>
    <w:basedOn w:val="819"/>
    <w:link w:val="839"/>
    <w:uiPriority w:val="0"/>
    <w:semiHidden/>
    <w:qFormat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character" w:styleId="863" w:customStyle="1">
    <w:name w:val="Основной текст 2 Знак"/>
    <w:basedOn w:val="819"/>
    <w:link w:val="828"/>
    <w:uiPriority w:val="0"/>
    <w:semiHidden/>
    <w:qFormat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864" w:customStyle="1">
    <w:name w:val="Абзац списка1"/>
    <w:basedOn w:val="809"/>
    <w:uiPriority w:val="0"/>
    <w:qFormat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865" w:customStyle="1">
    <w:name w:val="Doc subtitle1 Char"/>
    <w:link w:val="858"/>
    <w:uiPriority w:val="0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866" w:customStyle="1">
    <w:name w:val="Текст сноски Знак"/>
    <w:basedOn w:val="819"/>
    <w:link w:val="832"/>
    <w:uiPriority w:val="0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67" w:customStyle="1">
    <w:name w:val="цветной текст"/>
    <w:basedOn w:val="809"/>
    <w:uiPriority w:val="0"/>
    <w:qFormat/>
    <w:pPr>
      <w:numPr>
        <w:ilvl w:val="0"/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868" w:customStyle="1">
    <w:name w:val="538552DCBB0F4C4BB087ED922D6A6322"/>
    <w:uiPriority w:val="0"/>
    <w:qFormat/>
    <w:pPr>
      <w:pBdr/>
      <w:spacing w:after="200" w:line="276" w:lineRule="auto"/>
      <w:ind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869" w:customStyle="1">
    <w:name w:val="выделение цвет"/>
    <w:basedOn w:val="809"/>
    <w:link w:val="880"/>
    <w:uiPriority w:val="0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870" w:customStyle="1">
    <w:name w:val="цвет в таблице"/>
    <w:uiPriority w:val="0"/>
    <w:qFormat/>
    <w:pPr>
      <w:pBdr/>
      <w:spacing/>
      <w:ind/>
    </w:pPr>
    <w:rPr>
      <w:color w:val="2c8de6"/>
    </w:rPr>
  </w:style>
  <w:style w:type="paragraph" w:styleId="871" w:customStyle="1">
    <w:name w:val="TOC Heading"/>
    <w:basedOn w:val="810"/>
    <w:next w:val="809"/>
    <w:uiPriority w:val="39"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872" w:customStyle="1">
    <w:name w:val="!Заголовок-1"/>
    <w:basedOn w:val="810"/>
    <w:link w:val="874"/>
    <w:uiPriority w:val="0"/>
    <w:qFormat/>
    <w:pPr>
      <w:pBdr/>
      <w:spacing/>
      <w:ind/>
    </w:pPr>
    <w:rPr>
      <w:lang w:val="ru-RU"/>
    </w:rPr>
  </w:style>
  <w:style w:type="paragraph" w:styleId="873" w:customStyle="1">
    <w:name w:val="!заголовок-2"/>
    <w:basedOn w:val="811"/>
    <w:link w:val="876"/>
    <w:uiPriority w:val="0"/>
    <w:qFormat/>
    <w:pPr>
      <w:pBdr/>
      <w:spacing/>
      <w:ind/>
    </w:pPr>
    <w:rPr>
      <w:lang w:val="ru-RU"/>
    </w:rPr>
  </w:style>
  <w:style w:type="character" w:styleId="874" w:customStyle="1">
    <w:name w:val="!Заголовок-1 Знак"/>
    <w:link w:val="872"/>
    <w:uiPriority w:val="0"/>
    <w:qFormat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875" w:customStyle="1">
    <w:name w:val="!Текст"/>
    <w:basedOn w:val="809"/>
    <w:link w:val="878"/>
    <w:uiPriority w:val="0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76" w:customStyle="1">
    <w:name w:val="!заголовок-2 Знак"/>
    <w:link w:val="873"/>
    <w:uiPriority w:val="0"/>
    <w:qFormat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877" w:customStyle="1">
    <w:name w:val="!Синий заголовок текста"/>
    <w:basedOn w:val="869"/>
    <w:link w:val="881"/>
    <w:uiPriority w:val="0"/>
    <w:qFormat/>
    <w:pPr>
      <w:pBdr/>
      <w:spacing/>
      <w:ind/>
    </w:pPr>
  </w:style>
  <w:style w:type="character" w:styleId="878" w:customStyle="1">
    <w:name w:val="!Текст Знак"/>
    <w:link w:val="875"/>
    <w:uiPriority w:val="0"/>
    <w:qFormat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79" w:customStyle="1">
    <w:name w:val="!Список с точками"/>
    <w:basedOn w:val="809"/>
    <w:link w:val="883"/>
    <w:uiPriority w:val="0"/>
    <w:qFormat/>
    <w:pPr>
      <w:numPr>
        <w:ilvl w:val="0"/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80" w:customStyle="1">
    <w:name w:val="выделение цвет Знак"/>
    <w:link w:val="869"/>
    <w:uiPriority w:val="0"/>
    <w:qFormat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881" w:customStyle="1">
    <w:name w:val="!Синий заголовок текста Знак"/>
    <w:link w:val="877"/>
    <w:uiPriority w:val="0"/>
    <w:qFormat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882">
    <w:name w:val="List Paragraph"/>
    <w:basedOn w:val="809"/>
    <w:link w:val="893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883" w:customStyle="1">
    <w:name w:val="!Список с точками Знак"/>
    <w:link w:val="879"/>
    <w:uiPriority w:val="0"/>
    <w:qFormat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84" w:customStyle="1">
    <w:name w:val="Базовый"/>
    <w:uiPriority w:val="0"/>
    <w:qFormat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styleId="885" w:customStyle="1">
    <w:name w:val="Интернет-ссылка"/>
    <w:uiPriority w:val="0"/>
    <w:qFormat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886" w:customStyle="1">
    <w:name w:val="Текст примечания Знак"/>
    <w:basedOn w:val="819"/>
    <w:link w:val="830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7" w:customStyle="1">
    <w:name w:val="Тема примечания Знак"/>
    <w:basedOn w:val="886"/>
    <w:link w:val="831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88" w:customStyle="1">
    <w:name w:val="Lista Black"/>
    <w:basedOn w:val="834"/>
    <w:uiPriority w:val="1"/>
    <w:qFormat/>
    <w:pPr>
      <w:keepNext w:val="true"/>
      <w:numPr>
        <w:ilvl w:val="0"/>
        <w:numId w:val="4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889" w:customStyle="1">
    <w:name w:val="Основной текст (14)_"/>
    <w:basedOn w:val="819"/>
    <w:link w:val="890"/>
    <w:uiPriority w:val="0"/>
    <w:qFormat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890" w:customStyle="1">
    <w:name w:val="Основной текст (14)_3"/>
    <w:basedOn w:val="809"/>
    <w:link w:val="889"/>
    <w:uiPriority w:val="0"/>
    <w:qFormat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891" w:customStyle="1">
    <w:name w:val="Неразрешенное упоминание1"/>
    <w:basedOn w:val="819"/>
    <w:uiPriority w:val="99"/>
    <w:semiHidden/>
    <w:unhideWhenUsed/>
    <w:qFormat/>
    <w:pPr>
      <w:pBdr/>
      <w:spacing/>
      <w:ind/>
    </w:pPr>
    <w:rPr>
      <w:color w:val="605e5c"/>
      <w:shd w:val="clear" w:color="auto" w:fill="e1dfdd"/>
    </w:rPr>
  </w:style>
  <w:style w:type="character" w:styleId="892" w:customStyle="1">
    <w:name w:val="Неразрешенное упоминание2"/>
    <w:basedOn w:val="819"/>
    <w:uiPriority w:val="99"/>
    <w:semiHidden/>
    <w:unhideWhenUsed/>
    <w:qFormat/>
    <w:pPr>
      <w:pBdr/>
      <w:spacing/>
      <w:ind/>
    </w:pPr>
    <w:rPr>
      <w:color w:val="605e5c"/>
      <w:shd w:val="clear" w:color="auto" w:fill="e1dfdd"/>
    </w:rPr>
  </w:style>
  <w:style w:type="character" w:styleId="893" w:customStyle="1">
    <w:name w:val="Абзац списка Знак"/>
    <w:link w:val="882"/>
    <w:uiPriority w:val="34"/>
    <w:qFormat/>
    <w:pPr>
      <w:pBdr/>
      <w:spacing/>
      <w:ind/>
    </w:pPr>
    <w:rPr>
      <w:rFonts w:ascii="Calibri" w:hAnsi="Calibri" w:eastAsia="Calibri" w:cs="Times New Roman"/>
    </w:rPr>
  </w:style>
  <w:style w:type="character" w:styleId="894" w:customStyle="1">
    <w:name w:val="Subtle Reference"/>
    <w:uiPriority w:val="31"/>
    <w:qFormat/>
    <w:pPr>
      <w:pBdr/>
      <w:spacing/>
      <w:ind/>
    </w:pPr>
    <w:rPr>
      <w:color w:val="auto"/>
      <w:u w:val="single"/>
    </w:rPr>
  </w:style>
  <w:style w:type="paragraph" w:styleId="1_3" w:customStyle="1">
    <w:name w:val="Обычный1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DejaVu Sans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21C8-A05E-4806-B496-B6B390913F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LinksUpToDate>0</LinksUpToD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11</cp:revision>
  <dcterms:created xsi:type="dcterms:W3CDTF">2025-09-03T11:27:00Z</dcterms:created>
  <dcterms:modified xsi:type="dcterms:W3CDTF">2026-01-23T09:09:45Z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6CE2C3E255854EF8BB56C037EA0DDFE3_13</vt:lpwstr>
  </property>
</Properties>
</file>