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465470">
        <w:tc>
          <w:tcPr>
            <w:tcW w:w="5670" w:type="dxa"/>
          </w:tcPr>
          <w:p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:rsidR="00832EBB" w:rsidRPr="00B95B1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946CBD" w:rsidRPr="00946CBD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Машинное обучение и большие данные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:rsidR="00D83E4E" w:rsidRPr="00B95B16" w:rsidRDefault="00946CBD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946CBD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этапа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Pr="00946CBD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2025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:rsidR="00334165" w:rsidRPr="00B95B16" w:rsidRDefault="00BE2ED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_________________________________________</w:t>
          </w:r>
        </w:p>
      </w:sdtContent>
    </w:sdt>
    <w:p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946CBD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E576C" w:rsidP="00946CBD">
      <w:pPr>
        <w:pStyle w:val="25"/>
        <w:tabs>
          <w:tab w:val="clear" w:pos="9639"/>
          <w:tab w:val="right" w:leader="dot" w:pos="9355"/>
        </w:tabs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946CBD">
          <w:rPr>
            <w:rStyle w:val="ae"/>
            <w:noProof/>
            <w:sz w:val="28"/>
            <w:szCs w:val="28"/>
          </w:rPr>
          <w:t>Машинное обучение и большие данные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946CBD">
          <w:rPr>
            <w:rStyle w:val="ae"/>
            <w:noProof/>
            <w:sz w:val="28"/>
            <w:szCs w:val="28"/>
          </w:rPr>
          <w:tab/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……….</w:t>
        </w:r>
        <w:r w:rsidR="00465470">
          <w:rPr>
            <w:noProof/>
            <w:webHidden/>
            <w:sz w:val="28"/>
            <w:szCs w:val="28"/>
          </w:rPr>
          <w:t>7</w:t>
        </w:r>
      </w:hyperlink>
    </w:p>
    <w:p w:rsidR="00A4187F" w:rsidRPr="00AF76EA" w:rsidRDefault="004E576C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:rsidR="00A4187F" w:rsidRPr="00AF76EA" w:rsidRDefault="004E576C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:rsidR="00A4187F" w:rsidRPr="00AF76EA" w:rsidRDefault="004E576C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………………………………………………………………...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465470" w:rsidRDefault="00465470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7571FF" w:rsidRPr="00AF76EA" w:rsidRDefault="007571FF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7571FF" w:rsidRDefault="007571FF" w:rsidP="007571FF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7571FF" w:rsidRDefault="007571FF" w:rsidP="007571FF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7571FF" w:rsidRDefault="007571FF" w:rsidP="007571FF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:rsidR="007571FF" w:rsidRPr="00D96994" w:rsidRDefault="007571FF" w:rsidP="007571FF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FB3492" w:rsidRPr="00AF76EA" w:rsidRDefault="00FB3492" w:rsidP="00FB349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8"/>
          <w:szCs w:val="28"/>
          <w:vertAlign w:val="subscript"/>
          <w:lang w:val="ru-RU" w:eastAsia="ru-RU"/>
        </w:rPr>
      </w:pPr>
    </w:p>
    <w:p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:rsidR="007571FF" w:rsidRPr="00A204BB" w:rsidRDefault="007571FF" w:rsidP="0075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«Машинное обучение и большие данные»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:rsidR="007571FF" w:rsidRDefault="007571FF" w:rsidP="0075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1FF" w:rsidRPr="00A204BB" w:rsidRDefault="007571FF" w:rsidP="0075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7571FF" w:rsidRPr="00A204BB" w:rsidRDefault="007571FF" w:rsidP="0075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:rsidR="00E857D6" w:rsidRPr="00AF76EA" w:rsidRDefault="007571FF" w:rsidP="0075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7571FF" w:rsidRPr="007571FF">
        <w:rPr>
          <w:rFonts w:ascii="Times New Roman" w:hAnsi="Times New Roman"/>
          <w:szCs w:val="28"/>
        </w:rPr>
        <w:t>Машинное обучение и большие данные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6769"/>
        <w:gridCol w:w="2171"/>
      </w:tblGrid>
      <w:tr w:rsidR="008668D2" w:rsidRPr="00763EE2" w:rsidTr="00D87F62">
        <w:tc>
          <w:tcPr>
            <w:tcW w:w="330" w:type="pct"/>
            <w:shd w:val="clear" w:color="auto" w:fill="92D050"/>
            <w:vAlign w:val="center"/>
          </w:tcPr>
          <w:p w:rsidR="008668D2" w:rsidRPr="00763EE2" w:rsidRDefault="008668D2" w:rsidP="00D87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EE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8668D2" w:rsidRPr="00763EE2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763EE2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8668D2" w:rsidRPr="00763EE2" w:rsidRDefault="008668D2" w:rsidP="00D87F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EE2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8668D2" w:rsidRPr="005A7EC8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533FF8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и коммуникация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5A7EC8" w:rsidRDefault="00E957BA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  <w:r w:rsidR="008668D2" w:rsidRPr="005A7EC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имеющейся у исполнителя методологической и технологической </w:t>
            </w:r>
            <w:r w:rsidRPr="007D1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анализа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Возможности использования свободно распространяемого программного обеспечения для анализа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Предметная область анализа больших данных в соответствии с требованиями заказчика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Основы планирования аналитических работ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Стандарты проведения анализа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Методы и инструментальные средства управления аналитическими проектами по исследованию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Содержание и последовательность выполнения этапов аналитического проекта по исследованию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Содержание этапов жизненного цикла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Типы анализа больших данных, виды аналитики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Теоретические и прикладные основы анализа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Современные методы и инструментальные средства анализа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Теория вероятностей и математическая статистика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информации, в том числе информации, необходимой для обеспечения деятельности в предметной области заказчика исследования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Методы интерпретации и визуализации анализа больших данных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:rsidR="008668D2" w:rsidRPr="007D129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Технологии подготовки и проведения презентаций</w:t>
            </w:r>
          </w:p>
          <w:p w:rsidR="008668D2" w:rsidRPr="000244DA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Правила деловой переписки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Проводить переговоры при определении содержания аналитических работ с использованием технологий больших данных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Представлять содержание и результаты работ по анализу больших данных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Вести протоколы мероприятий по анализу больших данных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Планировать аналитические работы с использованием технологий больших данных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Проводить аналитические работы с использованием технологий больших данных</w:t>
            </w:r>
          </w:p>
          <w:p w:rsidR="008668D2" w:rsidRPr="00533FF8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t>Проводить анализ больших данных</w:t>
            </w:r>
          </w:p>
          <w:p w:rsidR="008668D2" w:rsidRPr="000244DA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3F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интеграцию и преобразование данных в ходе работ по анализу больших данных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C4DE0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533FF8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данных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C4DE0" w:rsidRDefault="008668D2" w:rsidP="00E957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957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Возможности имеющейся у исполнителя методологической и технологической инфраструктуры анализа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Предметная область анализа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Теоретические и прикладные основы анализа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Современные методы и инструментальные средства анализа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Современный опыт использования анализа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Типы больших данных: метаданные, полуструктурированные, структурированные, неструктурированные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Виды источников данных: созданные человеком, созданные машинами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информации, в том числе информации, необходимой для обеспечения деятельности в предметной области заказчика исследования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Методы извлечения информации и знаний из гетерогенных, мультиструктурированных, неструктурированных источников, в том числе при потоковой обработке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Российские и международные стандарты информационной безопасности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Современная технологическая инфраструктура высокопроизводительных и распределенных вычислений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Режимы получения и обработки данных, поддержка режима реального времени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Технологии хранения и обработки больших данных в организации: базы данных, хранилища данных, распределенная и параллельная обработка данных, вычисления в оперативной памяти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Облачные технологии, облачные сервисы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Методы оценки временных и стоимостных характеристик технологий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  <w:p w:rsidR="008668D2" w:rsidRPr="007D1293" w:rsidRDefault="008668D2" w:rsidP="00D87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деловой переписки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Определять требования к поставщикам данных из гетерогенных источников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Осуществлять взаимодействие с внутренними и внешними поставщиками данных из гетерогенных источников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Разрабатывать и оценивать модели больших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Использовать инструментальные средства для извлечения, преобразования, хранения и обработки данных из разнородных источников, в том числе в режиме реального времени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Производить очистку данных для проведения аналитических работ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Проводить интеграцию и преобразование больших объемов данных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Оценивать соответствие наборов данных задачам анализа больших данных</w:t>
            </w:r>
          </w:p>
          <w:p w:rsidR="008668D2" w:rsidRPr="007D1293" w:rsidRDefault="008668D2" w:rsidP="00D87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293">
              <w:rPr>
                <w:rFonts w:ascii="Times New Roman" w:hAnsi="Times New Roman" w:cs="Times New Roman"/>
                <w:sz w:val="28"/>
                <w:szCs w:val="28"/>
              </w:rPr>
              <w:t>Оценивать стоимость данных для проведения аналитических работ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C4DE0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B12D37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Аналитика и моделирование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C4DE0" w:rsidRDefault="00E957BA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8668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Содержание и последовательность выполнения этапов аналитического проекта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аналитическими работами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малыми аналитическими группами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Возможности имеющейся у исполнителя методологической и технологической инфраструктуры анализа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Предметная область анализа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Теория принятия решений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Теоретические и прикладные основы анализа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Современный опыт использования анализа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анализа данных: статистический анализ, семантический анализ, анализ изображений, машинное обучение, методы сравнения средних, частотный анализ, анализ соответствий, кластерный анализ, дискриминантный анализ, факторный анализ, деревья классификации, многомерное шкалирование, </w:t>
            </w: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моделирование структурными уравнениями, методы анализа выживаемости, временные ряды, планирование экспериментов, карты контроля качества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Нейронные сети: полносвязные, свёрточные и рекуррентные нейронные сети, методы обучения нейронных сетей, нейросетевые методы понижения размерности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Статистические модели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Статистический анализ: метод многовариантного тестирования, корреляционный анализ, регрессионный анализ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Статистические методы: параметрические, непараметрические, управляемые, неуправляемые, полууправляемые, кластеризация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Семантический анализ: обработка естественного языка, сентиментный анализ, анализ текста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Алгоритмы машинного обучения: обучение с учителем, обучение без учителя, полууправляемое обучение, обучение с подкреплением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Машинное обучение: классификация, кластеризация, обнаружение выбросов, фильтрация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и модели классификации: логистическая регрессия, деревья решений, предредукция, постредукция, модели, основанные на правилах, вероятностные классификаторы, усиление энтропии информации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Фильтрация шумовых выбросов, виды шумовых выбросов: глобальный, контекстуальный, коллективный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Анализ изображений, анализ сетей, анализ пространственных данных, анализ временных рядов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идентификации шаблонов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оценки моделей: оценка качества построенной модели по тестовой выборке и анализ обобщающих способностей алгоритма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Распределенный анализ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Анализ данных в реальном времени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Правила деловой переписки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разработки отчетной аналитической документации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3129F2" w:rsidTr="00D87F62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Планировать аналитические работы с использованием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аналитические работы с использованием </w:t>
            </w: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 больших данных, как индивидуально, так и, осуществляя руководство малыми аналитическими группами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Использовать имеющуюся у исполнителя методологическую и технологическую инфраструктуру анализа больших данных для выполнения аналитических работ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сравнительный анализ методов и инструментальных средств анализа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Разрабатывать и оценивать модели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Программировать на языках высокого уровня, ориентированных на работу с большими данными: для статистической обработки данных и работы с графикой, для работы с разрозненными фрагментами данных в больших массивах, для работы с базами структурированных и неструктурированных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Адаптировать и развертывать модели в предметной среде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Решать задачи классификации, кластеризации, регрессии, прогнозирования, снижения размерности и ранжирования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Решать проблемы переобучения и недообучения алгоритма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Формировать предложения по использованию результатов анализа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Оформлять результаты аналитического исследования для представления заказчику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Разъяснять заказчику результаты аналитической работы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информации о новых и перспективных методах анализа больших данных, выполнять сравнительный анализ методов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3129F2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C4DE0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B12D37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программных </w:t>
            </w: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C4DE0" w:rsidRDefault="008668D2" w:rsidP="003C26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3C26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Состояние и перспективы развития в Российской Федерации и в мире информационных технологий нового поколения, предназначенных для экономически эффективного извлечения полезной информации из больших объемов разнообразных данных путем высокой скорости их сбора, обработки и анализа, а также продуктов и услуг на их основе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Локальные и глобальные потребности в создании новых и модернизации существующих продуктов на основе встроенной аналитики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Существующие и перспективные методы и программный инструментарий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Существующий опыт разработки и использования продуктов и услуг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Современные и перспективные методы сбора, хранения и передачи данных из гетерогенных источников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Источники больших данных, интенсивность генерации данных источниками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и среды сбора, хранения и обработки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Принципы и методы управления защитой и обеспечением конфиденциальности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правового регулирования оборота и использования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Современные и перспективные средства визуализации и интерпретации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Системная инженерия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Машинное обучение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Теория принятия решений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Высокопроизводительные и распределенные вычисления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маркетинговых исследований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сравнительного анализа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инновационной деятельности и управления инновациями в сфере информационных технологий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информационно-технологическими проектами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проектными коллективами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взаимоотношениями с партнерами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охраны авторских прав и интеллектуальной собственности в сфере информационных технологий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Правила деловой переписки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аналитические и поисковые исследования по тематике информационных технологий,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маркетинговые исследования в области информационных продуктов и услуг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Разрабатывать конкурсную, проектную и рабочую документацию на разработку новых продуктов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технико-экономическое обоснование разработки новых продуктов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Оценивать экономические параметры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Осуществлять разработку программно-аппаратных компонентов и систем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Осуществлять математическое и информационное моделирование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аналитические работы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Формировать коллектив исполнителей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взаимоотношениями с исполнителями и соисполнителями проектных работ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коллективом исполнителей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исполнением проектных работ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Разрабатывать научно-техническую документацию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согласование с заказчиком содержания и отчетной документации проектных работ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презентации, подготавливать публикации по итогам проектных работ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C4DE0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B12D37" w:rsidRDefault="008668D2" w:rsidP="00D87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Сервисы и интеграция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C4DE0" w:rsidRDefault="003C269F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68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Состояние и перспективы развития в Российской Федерации и в мире информационных технологий нового поколения, предназначенных для экономически эффективного извлечения полезной информации из больших объемов разнообразных данных путем высокой скорости их сбора, обработки и анализа, а также продуктов и услуг на их основе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Локальные и глобальные потребности в создании новых и модернизации существующих сервисов на основе встроенной аналитики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Существующие и перспективные методы и программный инструментарий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Принципы и методы управления защитой и обеспечением конфиденциальности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Существующий опыт разработки и использования продуктов и услуг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Особенности социально-экономической сферы использования сервисов на основе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 науки о сервисах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Сервисы и системы обслуживания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Сервис-ориентированная архитектура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Технология веб-сервисов и мобильных сервисов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Моделирование процессов предоставления услуг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 обслуживания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Эффективность сервисов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Сервисные инновации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Правовые и этические аспекты предоставления услуг на основе аналитики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Современные и перспективные методы сбора, хранения и передачи данных из гетерогенных источников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Источники больших данных, интенсивность генерации данных источниками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и среды сбора, хранения и обработки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Современные и перспективные средства визуализации и интерпретации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Высокопроизводительные и распределенные вычисления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маркетинговых исследований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Методы сравнительного анализа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инновационной деятельности и управления инновациями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информационно-технологическими проектами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проектными коллективами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управления взаимоотношениями с партнерами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Основы охраны авторских прав и интеллектуальной собственности в сфере информационных технологий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Правила деловой переписки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аналитические и поисковые исследования по тематике информационных технологий,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маркетинговые исследования в области аналитических услуг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Разрабатывать конкурсную, проектную и рабочую документацию на разработку аналитических услуг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технико-экономическое обоснование разработки и использования услуг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Оценивать экономические параметры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Разрабатывать программно-аппаратные компоненты и системы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математическое и информационное моделирование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Выполнять аналитические работы на основе технологий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Формировать коллектив исполнителей проектов в области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взаимоотношениями с исполнителями и соисполнителями проектных работ в области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коллективом исполнителей проектов в области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Управлять исполнением проектных работ в области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Разрабатывать научно-техническую документацию по проектам в области больших данных</w:t>
            </w:r>
          </w:p>
          <w:p w:rsidR="008668D2" w:rsidRPr="00AE7B04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Согласовывать с заказчиком содержание проектных работ в области больших данных и отчетную документацию по ним</w:t>
            </w:r>
          </w:p>
          <w:p w:rsidR="008668D2" w:rsidRPr="007D1293" w:rsidRDefault="008668D2" w:rsidP="00D87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7B04">
              <w:rPr>
                <w:rFonts w:ascii="Times New Roman" w:hAnsi="Times New Roman" w:cs="Times New Roman"/>
                <w:sz w:val="28"/>
                <w:szCs w:val="28"/>
              </w:rPr>
              <w:t>Проводить презентации, подготавливать публикации по итогам проектных работ в области больших данных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3C269F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668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охраны труда при работе с компьютерной техникой и программным обеспечением; 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по эргономике рабочего места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равила безопасного поведения при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 электронными устройствами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сновы психофизиологической устойчивости при интеллект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уальной нагрузке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ормативные документы по охране труда в сфере ИТ (включая требования к защите персональны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данных и кибербезопасности)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иски, связанные с длительной работой за компьютеро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(зрение, осанка, утомление)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тические и правовые аспекты обработки чувствительных данных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Организовать безопасное рабочее место при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с аналитическими системами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облюдать режим труда и отдыха при выполнении высокона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груженных аналитических задач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рименять средства защиты информации и персональных данных в соответстви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 требованиями безопасности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ценивать и минимизировать риски, связанные с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откой конфиденциальных данных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облюдать этические нормы при работе с данными, включая вопросы прозрачности и ответственности алгоритмов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12EE">
              <w:rPr>
                <w:rFonts w:ascii="Times New Roman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3C269F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668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бережливого производства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цифровой среде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Концепцию устранения потерь в аналитических процессах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етоды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оптимизации рабочих процессов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нструменты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прерывного улучшения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одходы к автоматизации рути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нных операций в анализе данных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начение повторного использован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моделей, пайплайнов и кода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ринципы эффективного управления ресурсами (время, выч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ислительные мощности, данные)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F2B9A">
              <w:rPr>
                <w:rFonts w:ascii="Times New Roman" w:hAnsi="Times New Roman" w:cs="Times New Roman"/>
                <w:sz w:val="28"/>
                <w:szCs w:val="28"/>
              </w:rPr>
              <w:t>етоды оценки эффективности аналитических 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8D2" w:rsidRPr="000244DA" w:rsidTr="00D87F6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668D2" w:rsidRPr="000244DA" w:rsidRDefault="008668D2" w:rsidP="00D8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668D2" w:rsidRPr="00764773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>Идентифицировать избыточные и неэффективные 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апы в аналитических процессах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>птимизировать рабочие процес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сы обработки и анализа данных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>недрять автоматизацию на этапах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одготовки данных и отчётности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>спользовать шаблоны и репозитории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повторного применения решений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 xml:space="preserve">инимизировать использование вычислительных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ресурсов при обучении моделей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 xml:space="preserve">ценивать экономическую и трудовую эффективность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аналитических решений</w:t>
            </w:r>
          </w:p>
          <w:p w:rsidR="008668D2" w:rsidRDefault="008668D2" w:rsidP="00D87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F792F">
              <w:rPr>
                <w:rFonts w:ascii="Times New Roman" w:hAnsi="Times New Roman" w:cs="Times New Roman"/>
                <w:sz w:val="28"/>
                <w:szCs w:val="28"/>
              </w:rPr>
              <w:t>недрять практики непрерывного улучшения в проектной деятельности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668D2" w:rsidRPr="000244DA" w:rsidRDefault="008668D2" w:rsidP="00D8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lastRenderedPageBreak/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27" w:type="pct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75"/>
        <w:gridCol w:w="872"/>
        <w:gridCol w:w="872"/>
        <w:gridCol w:w="872"/>
        <w:gridCol w:w="872"/>
        <w:gridCol w:w="924"/>
        <w:gridCol w:w="2968"/>
      </w:tblGrid>
      <w:tr w:rsidR="00F10695" w:rsidRPr="00F10695" w:rsidTr="008E5E7D">
        <w:trPr>
          <w:trHeight w:val="944"/>
          <w:tblHeader/>
          <w:jc w:val="center"/>
        </w:trPr>
        <w:tc>
          <w:tcPr>
            <w:tcW w:w="3458" w:type="pct"/>
            <w:gridSpan w:val="7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542" w:type="pct"/>
            <w:shd w:val="clear" w:color="auto" w:fill="92D050"/>
            <w:vAlign w:val="center"/>
          </w:tcPr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 w:val="restart"/>
            <w:shd w:val="clear" w:color="auto" w:fill="92D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99" w:type="pct"/>
            <w:shd w:val="clear" w:color="auto" w:fill="92D050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53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53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53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80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42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4A3E00" w:rsidP="004A3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19,00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4A3E00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13,00</w:t>
            </w:r>
          </w:p>
        </w:tc>
        <w:tc>
          <w:tcPr>
            <w:tcW w:w="480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480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E5E7D" w:rsidRPr="00F10695" w:rsidRDefault="004A3E0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867" w:type="pct"/>
            <w:vMerge/>
            <w:shd w:val="clear" w:color="auto" w:fill="92D050"/>
            <w:vAlign w:val="center"/>
          </w:tcPr>
          <w:p w:rsidR="008E5E7D" w:rsidRPr="00F10695" w:rsidRDefault="008E5E7D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8E5E7D" w:rsidRPr="008E5E7D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E5E7D" w:rsidRPr="00F10695" w:rsidRDefault="004A3E00" w:rsidP="004A3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</w:tr>
      <w:tr w:rsidR="008E5E7D" w:rsidRPr="00F10695" w:rsidTr="008E5E7D">
        <w:trPr>
          <w:trHeight w:val="50"/>
          <w:jc w:val="center"/>
        </w:trPr>
        <w:tc>
          <w:tcPr>
            <w:tcW w:w="1165" w:type="pct"/>
            <w:gridSpan w:val="2"/>
            <w:shd w:val="clear" w:color="auto" w:fill="00B050"/>
            <w:vAlign w:val="center"/>
          </w:tcPr>
          <w:p w:rsidR="008E5E7D" w:rsidRPr="00F10695" w:rsidRDefault="008E5E7D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16" w:right="-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</w:t>
            </w: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39" w:right="-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20,50</w:t>
            </w: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161" w:right="-1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20,50</w:t>
            </w: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42" w:right="-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19,00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8E5E7D" w:rsidRPr="00F10695" w:rsidRDefault="004A3E00" w:rsidP="00F10695">
            <w:pPr>
              <w:ind w:left="-65" w:right="-1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18,00</w:t>
            </w:r>
          </w:p>
        </w:tc>
        <w:tc>
          <w:tcPr>
            <w:tcW w:w="1542" w:type="pct"/>
            <w:shd w:val="clear" w:color="auto" w:fill="F2F2F2" w:themeFill="background1" w:themeFillShade="F2"/>
            <w:vAlign w:val="center"/>
          </w:tcPr>
          <w:p w:rsidR="008E5E7D" w:rsidRPr="00F10695" w:rsidRDefault="008E5E7D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347AD8" w:rsidP="008B68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  <w:r w:rsidRPr="00347AD8">
              <w:rPr>
                <w:b/>
                <w:sz w:val="24"/>
                <w:szCs w:val="24"/>
              </w:rPr>
              <w:t>бор и предварительн</w:t>
            </w:r>
            <w:r>
              <w:rPr>
                <w:b/>
                <w:sz w:val="24"/>
                <w:szCs w:val="24"/>
              </w:rPr>
              <w:t>ая</w:t>
            </w:r>
            <w:r w:rsidRPr="00347AD8">
              <w:rPr>
                <w:b/>
                <w:sz w:val="24"/>
                <w:szCs w:val="24"/>
              </w:rPr>
              <w:t xml:space="preserve"> обработк</w:t>
            </w:r>
            <w:r>
              <w:rPr>
                <w:b/>
                <w:sz w:val="24"/>
                <w:szCs w:val="24"/>
              </w:rPr>
              <w:t>а</w:t>
            </w:r>
            <w:r w:rsidRPr="00347AD8">
              <w:rPr>
                <w:b/>
                <w:sz w:val="24"/>
                <w:szCs w:val="24"/>
              </w:rPr>
              <w:t xml:space="preserve"> данных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CA3287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практических результатов, согласно измеримым и судейским аспектам критериев оценки / Автоматизированная оценка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8B6839" w:rsidP="008B68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Pr="008B6839">
              <w:rPr>
                <w:b/>
                <w:sz w:val="24"/>
                <w:szCs w:val="24"/>
              </w:rPr>
              <w:t>нализ и визуализации данных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CA3287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практических результатов, согласно измеримым и судейским аспектам критериев оценки / Автоматизированная оценка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8B6839" w:rsidP="008B68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8B6839">
              <w:rPr>
                <w:b/>
                <w:sz w:val="24"/>
                <w:szCs w:val="24"/>
              </w:rPr>
              <w:t>оделировани</w:t>
            </w:r>
            <w:r>
              <w:rPr>
                <w:b/>
                <w:sz w:val="24"/>
                <w:szCs w:val="24"/>
              </w:rPr>
              <w:t>е</w:t>
            </w:r>
            <w:r w:rsidRPr="008B6839">
              <w:rPr>
                <w:b/>
                <w:sz w:val="24"/>
                <w:szCs w:val="24"/>
              </w:rPr>
              <w:t xml:space="preserve"> и прогнозировани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CA3287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практических результатов, согласно измеримым и судейским аспектам критериев оценки / Автоматизированная оценка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31424A" w:rsidP="008B68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24A">
              <w:rPr>
                <w:b/>
                <w:sz w:val="24"/>
                <w:szCs w:val="24"/>
              </w:rPr>
              <w:t>Интеграция и взаимодействие</w:t>
            </w:r>
          </w:p>
        </w:tc>
        <w:tc>
          <w:tcPr>
            <w:tcW w:w="3149" w:type="pct"/>
            <w:shd w:val="clear" w:color="auto" w:fill="auto"/>
          </w:tcPr>
          <w:p w:rsidR="00437D28" w:rsidRPr="004904C5" w:rsidRDefault="00CA3287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практических результатов, согласно измеримым и судейским аспектам критериев оценки / Автоматизированная оценка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8B6839" w:rsidP="008B68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Демонстрация и сопровождение системы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CA3287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практических результатов, согласно измеримым и судейским аспектам критериев оценки / Автоматизированная оценка</w:t>
            </w:r>
          </w:p>
        </w:tc>
      </w:tr>
    </w:tbl>
    <w:p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  <w:r w:rsidRPr="00B33456">
        <w:rPr>
          <w:rFonts w:ascii="Times New Roman" w:hAnsi="Times New Roman"/>
          <w:szCs w:val="28"/>
        </w:rPr>
        <w:lastRenderedPageBreak/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A5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3A53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3A53D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3A53D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3A53D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модулям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3D9"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:rsidR="00BE2ED0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вариативные модули формиру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вариативных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 и количество баллов в критериях оценки по аспектам не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 (Приложение 3. Матрица конкурсного задания).</w:t>
      </w:r>
    </w:p>
    <w:p w:rsidR="00CA3287" w:rsidRDefault="00CA328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D75" w:rsidRDefault="00347D75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D75" w:rsidRDefault="00347D75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D75" w:rsidRPr="00F10695" w:rsidRDefault="00347D75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  <w:r w:rsidRPr="00F10695">
        <w:rPr>
          <w:rFonts w:ascii="Times New Roman" w:hAnsi="Times New Roman"/>
          <w:szCs w:val="28"/>
        </w:rPr>
        <w:lastRenderedPageBreak/>
        <w:t>1.5.2. Структура модулей конкурсного задания</w:t>
      </w:r>
      <w:bookmarkEnd w:id="11"/>
    </w:p>
    <w:p w:rsidR="003B5B8B" w:rsidRP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требования к выполнению задания: </w:t>
      </w:r>
    </w:p>
    <w:p w:rsidR="003B5B8B" w:rsidRPr="003B5B8B" w:rsidRDefault="003B5B8B" w:rsidP="003B5B8B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/>
          <w:bCs/>
          <w:sz w:val="28"/>
          <w:szCs w:val="28"/>
          <w:lang w:eastAsia="ru-RU"/>
        </w:rPr>
        <w:t>Все агенты должны быть реализованы как автономные модули с чётко определённым интерфейсом взаимодействия (через файлы, базу данных или API)</w:t>
      </w:r>
      <w:r w:rsidR="004F283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B5B8B" w:rsidRPr="003B5B8B" w:rsidRDefault="003B5B8B" w:rsidP="003B5B8B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/>
          <w:bCs/>
          <w:sz w:val="28"/>
          <w:szCs w:val="28"/>
          <w:lang w:eastAsia="ru-RU"/>
        </w:rPr>
        <w:t>Для обеспечения воспроизводимости в каждом модуле необходимо предоставить файл зависимостей (requirements.txt или environment.yml) и инструкцию по настройке окружения</w:t>
      </w:r>
      <w:r w:rsidR="004F283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B5B8B" w:rsidRPr="003B5B8B" w:rsidRDefault="003B5B8B" w:rsidP="003B5B8B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Необходимо использовать виртуальные окружения (venv, conda) для изоляции зависимостей</w:t>
      </w:r>
      <w:r w:rsidR="004F283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B5B8B" w:rsidRPr="003B5B8B" w:rsidRDefault="003B5B8B" w:rsidP="003B5B8B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/>
          <w:bCs/>
          <w:sz w:val="28"/>
          <w:szCs w:val="28"/>
          <w:lang w:eastAsia="ru-RU"/>
        </w:rPr>
        <w:t>Все скрипты должны запускаться одной командой после установки окружения</w:t>
      </w:r>
      <w:r w:rsidR="004F283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B5B8B" w:rsidRDefault="003B5B8B" w:rsidP="003B5B8B">
      <w:pPr>
        <w:pStyle w:val="aff1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5B8B">
        <w:rPr>
          <w:rFonts w:ascii="Times New Roman" w:eastAsia="Times New Roman" w:hAnsi="Times New Roman"/>
          <w:bCs/>
          <w:sz w:val="28"/>
          <w:szCs w:val="28"/>
          <w:lang w:eastAsia="ru-RU"/>
        </w:rPr>
        <w:t>Итоговая система должна быть работоспособной и демонстрировать сквозной процесс обработки данных</w:t>
      </w:r>
      <w:r w:rsidR="004F283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47D75" w:rsidRPr="003B5B8B" w:rsidRDefault="00347D75" w:rsidP="00347D75">
      <w:pPr>
        <w:pStyle w:val="aff1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5B8B" w:rsidRPr="00D9699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</w:t>
      </w:r>
      <w:r w:rsidRPr="003B5B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бор и предварительн</w:t>
      </w:r>
      <w:r w:rsidR="0001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ая</w:t>
      </w:r>
      <w:r w:rsidRPr="003B5B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обработк</w:t>
      </w:r>
      <w:r w:rsidR="0001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B5B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данных</w:t>
      </w:r>
      <w:r w:rsidR="00347D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 Загрузка данных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D87F62" w:rsidP="00D87F6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Разработайте агента, автоматически загружающего треки маршрутов по ссылкам, указанным в задании. Для каждого трека получите изображение топографической карты местности из открытых источников. Наложите трек на карту для формирования единого изображения, отражающего маршрут в географ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ическом контексте. Все данные (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реки, изображения, метаданные) 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должны сохраняться в базе данных. Обеспечьте поддержку актуальности базы данных на протяжении всей работы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ри повторном запуске агент должен обновлять или дополнять информацию, избегая дублирования</w:t>
            </w:r>
            <w:r w:rsidR="003B5B8B" w:rsidRPr="0085642E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 Формирование набора данных</w:t>
            </w:r>
          </w:p>
        </w:tc>
      </w:tr>
      <w:tr w:rsidR="003B5B8B" w:rsidTr="00C7316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644A93" w:rsidRDefault="00D87F62" w:rsidP="00C7316E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каждой точки маршрута </w:t>
            </w:r>
            <w:r w:rsidR="00C7316E">
              <w:rPr>
                <w:rFonts w:ascii="Times New Roman" w:hAnsi="Times New Roman"/>
                <w:b w:val="0"/>
                <w:sz w:val="28"/>
                <w:szCs w:val="28"/>
              </w:rPr>
              <w:t xml:space="preserve">агент должен 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извлек</w:t>
            </w:r>
            <w:r w:rsidR="00C7316E">
              <w:rPr>
                <w:rFonts w:ascii="Times New Roman" w:hAnsi="Times New Roman"/>
                <w:b w:val="0"/>
                <w:sz w:val="28"/>
                <w:szCs w:val="28"/>
              </w:rPr>
              <w:t>ать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данные об окружении в радиусе 500 метров на основе цветовых и условно-графических обозначений карты с учётом её легенды. Определите тип местности (лес, болото, дорога, река и т.п.) и наличие ключевых объектов (посёлки, перевалы, источники воды). Итоговый набор данных должен включать: идентификатор трека, дату, регион, координаты точки, частоту шагов, </w:t>
            </w: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высоту над уровнем моря, температуру (по данным погоды на момент прохождения), тип окружающей местности и список объектов в радиусе действия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 Предобработка данных и выделение значимых атрибутов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C7316E" w:rsidP="00C7316E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должен п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рове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сти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анализ атрибутов, влияющих на схожесть участков маршрутов, с целью последующей группировки. Определите наиболее значимые признаки с использованием методов корреляционного анализа, дисперсионного анализа или методов оценки важности признаков (например, SHAP, permutation importance). Дополните набор данных таким образом, чтобы обеспечивалась всесезонность трекингов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1.4 </w:t>
            </w:r>
            <w:r w:rsidRPr="00AF593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писание структуры набора данных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D87F62" w:rsidP="00D87F6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87F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Для каждого атрибута подготовьте текстовое описание, включающее расшифровку, единицы измерения и назначение. Проведите проверку нормальности распределения значений с использованием графических методов и статистических критериев. Обоснуйте выбор методов оценки и сделайте выводы о типе распределения, наличии скошенности и необходимости трансформации признаков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 Расширение набора данных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D87F62" w:rsidRDefault="00C7316E" w:rsidP="00C7316E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31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Агент должен дополнить набор </w:t>
            </w:r>
            <w:r w:rsidR="00D87F62" w:rsidRPr="00D87F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данных информацией о новых треках, собранных с общедоступных туристических платформ. Проведите аугментацию изображений маршрутов с помощью геометрических и цветовых преобразований (повороты, сдвиги, изменение яркости, контраста), чтобы искусственно расширить обучающую выборку. Аугментация должна приводить к вариативности маршрутов, сохраняя при этом их реалистичность и географическую достоверность</w:t>
            </w:r>
            <w:r w:rsidR="00D87F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 Подготовка отчета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D87F62" w:rsidP="00D87F6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87F62">
              <w:rPr>
                <w:rFonts w:ascii="Times New Roman" w:hAnsi="Times New Roman"/>
                <w:b w:val="0"/>
                <w:sz w:val="28"/>
                <w:szCs w:val="28"/>
              </w:rPr>
              <w:t>Подготовьте отчёт по результатам работы агента, включающий описание реализованного функционала, обоснование выбранных подходов к сбору и предобработке данных, примеры полученных изображений и структуру базы данных. Укажите форматы итоговых файлов, а также приведите примеры записей из датасета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87F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D87F62" w:rsidRPr="00D87F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нализ и визуализации данных</w:t>
      </w:r>
      <w:r w:rsidR="00347D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14A0">
              <w:rPr>
                <w:rFonts w:ascii="Times New Roman" w:hAnsi="Times New Roman"/>
                <w:sz w:val="28"/>
                <w:szCs w:val="28"/>
              </w:rPr>
              <w:t>2.1 Построение аналитической системы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C7316E" w:rsidP="00C7316E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316E">
              <w:rPr>
                <w:rFonts w:ascii="Times New Roman" w:hAnsi="Times New Roman"/>
                <w:b w:val="0"/>
                <w:sz w:val="28"/>
                <w:szCs w:val="28"/>
              </w:rPr>
              <w:t>Разработайте агента анализа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–</w:t>
            </w:r>
            <w:r w:rsidRPr="00C7316E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программный модуль, который автоматически подключается к базе данных, настроенную в предыдущем </w:t>
            </w:r>
            <w:r w:rsidRPr="00C7316E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модуле, и строит интерактивный дашборд для анализа туристических маршрутов. Агент должен обеспечивать регулярное обновление данных, настраивать уровни доступа и предоставлять пользователю возможность автоматизированной работы с информацией. Дашборд должен наглядно отображать ключевые метрики в реальном времени, позволяя быстро считывать информацию и делать выводы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14A0"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>
              <w:rPr>
                <w:rFonts w:ascii="Times New Roman" w:hAnsi="Times New Roman"/>
                <w:sz w:val="28"/>
                <w:szCs w:val="28"/>
              </w:rPr>
              <w:t>Разработка функционала аналитической системы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8A5C65" w:rsidRDefault="00C7316E" w:rsidP="00177D4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7316E">
              <w:rPr>
                <w:rFonts w:ascii="Times New Roman" w:hAnsi="Times New Roman"/>
                <w:b w:val="0"/>
                <w:sz w:val="28"/>
                <w:szCs w:val="28"/>
              </w:rPr>
              <w:t>Агент должен реализовывать функции анализа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трендов активности по регионам и сезонам.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Он должен в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ычисл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я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среднюю частоту шагов по трекам в разные сезоны, зависимость температуры от времени суток, влияние типа местности (лес, город, горы) на активность туристов, а также взаимосвязь высоты маршрута с частотой шагов. </w:t>
            </w:r>
            <w:r w:rsidR="00177D42">
              <w:rPr>
                <w:rFonts w:ascii="Times New Roman" w:hAnsi="Times New Roman"/>
                <w:b w:val="0"/>
                <w:sz w:val="28"/>
                <w:szCs w:val="28"/>
              </w:rPr>
              <w:t>Агент должен определять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наиболее популярные маршруты в разные периоды года</w:t>
            </w:r>
            <w:r w:rsidR="00177D42">
              <w:rPr>
                <w:rFonts w:ascii="Times New Roman" w:hAnsi="Times New Roman"/>
                <w:b w:val="0"/>
                <w:sz w:val="28"/>
                <w:szCs w:val="28"/>
              </w:rPr>
              <w:t xml:space="preserve"> и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177D42"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изуализир</w:t>
            </w:r>
            <w:r w:rsidR="00177D42"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данные с помощью графиков зависимости частоты шагов от температуры и высоты, диаграмм распределения активности по регионам и интерактивных карт с возможностью фильтрации по регионам и времени суток</w:t>
            </w:r>
            <w:r w:rsidR="00D87F6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0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4F14A0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14A0">
              <w:rPr>
                <w:rFonts w:ascii="Times New Roman" w:hAnsi="Times New Roman"/>
                <w:sz w:val="28"/>
                <w:szCs w:val="28"/>
              </w:rPr>
              <w:t xml:space="preserve">2.3 </w:t>
            </w:r>
            <w:r>
              <w:rPr>
                <w:rFonts w:ascii="Times New Roman" w:hAnsi="Times New Roman"/>
                <w:sz w:val="28"/>
                <w:szCs w:val="28"/>
              </w:rPr>
              <w:t>Разметка</w:t>
            </w:r>
            <w:r w:rsidRPr="004F14A0">
              <w:rPr>
                <w:rFonts w:ascii="Times New Roman" w:hAnsi="Times New Roman"/>
                <w:sz w:val="28"/>
                <w:szCs w:val="28"/>
              </w:rPr>
              <w:t xml:space="preserve"> набора данных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4F14A0" w:rsidRDefault="00177D42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должен выполнять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разметку данных для выявления потенциально опасных участков маршрутов.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Он должен 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моделир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ситуации, связанные с рисками: возможные затопления в весенний период, зоны повышенной пожарной опасности в летний сезон, участки с ограниченной доступностью для эвакуации. Для разметки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использует</w:t>
            </w:r>
            <w:r w:rsidR="00DC2739">
              <w:rPr>
                <w:rFonts w:ascii="Times New Roman" w:hAnsi="Times New Roman"/>
                <w:b w:val="0"/>
                <w:sz w:val="28"/>
                <w:szCs w:val="28"/>
              </w:rPr>
              <w:t xml:space="preserve"> методы кластеризации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и </w:t>
            </w:r>
            <w:r w:rsidR="0031424A">
              <w:rPr>
                <w:rFonts w:ascii="Times New Roman" w:hAnsi="Times New Roman"/>
                <w:b w:val="0"/>
                <w:sz w:val="28"/>
                <w:szCs w:val="28"/>
              </w:rPr>
              <w:t>полуавтоматическую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разметку на основе геоданных.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Необходимо к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>лассифицир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="00D87F62" w:rsidRPr="00D87F62">
              <w:rPr>
                <w:rFonts w:ascii="Times New Roman" w:hAnsi="Times New Roman"/>
                <w:b w:val="0"/>
                <w:sz w:val="28"/>
                <w:szCs w:val="28"/>
              </w:rPr>
              <w:t xml:space="preserve"> участки по уровням риска и сложности эвакуации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0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RPr="004F14A0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4F14A0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14A0">
              <w:rPr>
                <w:rFonts w:ascii="Times New Roman" w:hAnsi="Times New Roman"/>
                <w:sz w:val="28"/>
                <w:szCs w:val="28"/>
              </w:rPr>
              <w:t xml:space="preserve">2.4 </w:t>
            </w:r>
            <w:r>
              <w:rPr>
                <w:rFonts w:ascii="Times New Roman" w:hAnsi="Times New Roman"/>
                <w:sz w:val="28"/>
                <w:szCs w:val="28"/>
              </w:rPr>
              <w:t>Анализ качества разметки набора данных</w:t>
            </w:r>
          </w:p>
        </w:tc>
      </w:tr>
      <w:tr w:rsidR="003B5B8B" w:rsidRPr="004F14A0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4F14A0" w:rsidRDefault="0031424A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должен о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>цени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вать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 xml:space="preserve"> качество разметки с помощью метрик и визуального анализа кластеров.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Необходимо с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>равнит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 xml:space="preserve"> результаты различных методов кластеризации и выбр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ать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 xml:space="preserve"> наиболее эффективный подход.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о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>босн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овывает</w:t>
            </w:r>
            <w:r w:rsidR="00DC2739" w:rsidRPr="00DC2739">
              <w:rPr>
                <w:rFonts w:ascii="Times New Roman" w:hAnsi="Times New Roman"/>
                <w:b w:val="0"/>
                <w:sz w:val="28"/>
                <w:szCs w:val="28"/>
              </w:rPr>
              <w:t xml:space="preserve"> выбор на основе устойчивости кластеров, интерпретируемости и соответствия реальным географическим условиям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. 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Полученные метки используются как основа для обучения модели в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будущем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 Подготовка отчета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31424A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Подготовьте отчёт, включающий описание реализованного агента, используемые инструменты, примеры визуализаций, результаты кластеризации и выводы по качеству разметки. Укажите структуру выходных файлов и приведите примеры отображаемых метрик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7D75" w:rsidRPr="00C97E44" w:rsidRDefault="00347D75" w:rsidP="003B5B8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2" w:name="_GoBack"/>
      <w:bookmarkEnd w:id="12"/>
    </w:p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Моделирование и прогнозирование</w:t>
      </w:r>
      <w:r w:rsidRPr="00D96994">
        <w:t xml:space="preserve"> 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 Обучение модели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0F1703" w:rsidRDefault="0031424A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Разработайте агента моделирования, который на основе размеченного набора данных обучает модель машинного обучения для классификации участков маршрутов по уровню опасности и сложности эвакуации. Агент использует несколько алгоритмов и сравнивает их по метрикам: точность, полнота, F1-мера, ROC-AUC. Выбирает лучшую модель, тестирует её на отложенной выборке и сохраняет в указанной директории.</w:t>
            </w:r>
            <w:r w:rsidR="003B5B8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 Организация непрерывного обучения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5D1435" w:rsidRDefault="0031424A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Агент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должен 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реализ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овывать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механизм непрерывного обучения: при поступлении новых данных из базы он автоматически дообучает модель и сохраняет обновлённую версию. Обеспечивает контроль дрейфа данных и при необходимости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– 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переобучение с нуля.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должен с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охраня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ть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версии моделей и логир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изменения в их качестве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 Прогнозирование динамики изменения характеристик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Pr="005D1435" w:rsidRDefault="0031424A" w:rsidP="0031424A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На основе исторических данных по погодным и природным условиям агент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должен 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строит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прогноз изменения характеристик кластеров (зоны затоплений, пожароопасные территории) на срок не менее 10 лет.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Необходимо и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спольз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методы анализа временных рядов.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Агент должен в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изуализир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овать</w:t>
            </w: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прогноз на карте и в виде графиков, отражающих динамику рисков по регионам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 Подготовка отчета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31424A" w:rsidP="00D87F6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31424A">
              <w:rPr>
                <w:rFonts w:ascii="Times New Roman" w:hAnsi="Times New Roman"/>
                <w:b w:val="0"/>
                <w:sz w:val="28"/>
                <w:szCs w:val="28"/>
              </w:rPr>
              <w:t>Подготовьте отчёт, включающий описание выбранной модели, обоснование её преимуществ, результаты тестирования, схему непрерывного обучения и визуализацию прогнозов. Укажите формат сохранённых моделей и пути к файлам</w:t>
            </w:r>
            <w:r w:rsidR="00A1263C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31424A" w:rsidRP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нтеграци</w:t>
      </w:r>
      <w:r w:rsid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="0031424A" w:rsidRP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взаимодействи</w:t>
      </w:r>
      <w:r w:rsidR="00314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D96994">
        <w:t xml:space="preserve"> 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4.1 Разработка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API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A1263C" w:rsidP="00A1263C">
            <w:pPr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Разработайте агента интеграции, который предоставляет доступ к обученной модели и прогнозам через программный интерфейс (API) на основе FastAPI или Flask. API должен поддерживать запросы: определение уровня опасности по координатам и дате, прогноз пожарной опасности или затоплений на заданный период, оценка сложности эвакуации. Агент не 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обучает модель, а только загружает уже сохранённую версию 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использует её для предсказаний.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 Разработка приложения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A1263C" w:rsidP="00A1263C">
            <w:pPr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Агент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должен предоставлять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 графически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й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 интерфейс, использующ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ий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 разработанное API для отображения опасных участков на выбранном маршруте.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Интерфейс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 визуализирует зоны риска (например, цветовым кодированием) на карте маршрута в зависимости от даты прохождения. Реализует возможность просмотра прогнозов на будущее и получения справочной информации. Интерфейс должен быть простым и понятным для конечного пользователя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3B5B8B" w:rsidP="00D87F6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 Программная документация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hideMark/>
          </w:tcPr>
          <w:p w:rsidR="003B5B8B" w:rsidRDefault="00A1263C" w:rsidP="00A1263C">
            <w:pPr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Агент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должен содержать</w:t>
            </w: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 xml:space="preserve"> документацию по API и приложению, включающую описание эндпоинтов, форматов запросов и ответов, примеры использования, инструкцию по запуску и справку по командам. Документация должна быть доступна в формате Markdown или PDF</w:t>
            </w:r>
            <w:r w:rsidR="003B5B8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B8B" w:rsidRPr="00C97E44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12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 и сопровождение системы</w:t>
      </w:r>
      <w:r w:rsidRPr="00D96994">
        <w:t xml:space="preserve"> 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3 часа</w:t>
      </w:r>
    </w:p>
    <w:p w:rsidR="003B5B8B" w:rsidRDefault="003B5B8B" w:rsidP="003B5B8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 Разработка документации по системе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A1263C" w:rsidP="00D87F62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 w:val="0"/>
                <w:sz w:val="28"/>
                <w:szCs w:val="28"/>
              </w:rPr>
              <w:t>На основе отчётов по предыдущим модулям создайте комплексную документацию, охватывающую всю разработанную мультиагентную систему. Включите в неё: архитектуру системы, описание ролей каждого агента, схему взаимодействия (например, через файлы, базу данных или API), обоснования выбранных технологий и алгоритмов, структуру проекта, инструкции по установке зависимостей (через requirements.txt или environment.yml), а также скриншоты ключевых компонентов. Убедитесь, что документация позволяет стороннему специалисту развернуть и запустить систему без дополнительных пояснений</w:t>
            </w:r>
            <w:r w:rsidR="003B5B8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3B5B8B" w:rsidRDefault="003B5B8B" w:rsidP="003B5B8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-46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="003B5B8B" w:rsidTr="00D87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3B5B8B" w:rsidP="00D87F62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 Демонстрация результатов работы</w:t>
            </w:r>
          </w:p>
        </w:tc>
      </w:tr>
      <w:tr w:rsidR="003B5B8B" w:rsidTr="00D87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hideMark/>
          </w:tcPr>
          <w:p w:rsidR="003B5B8B" w:rsidRDefault="00A1263C" w:rsidP="00A1263C">
            <w:pPr>
              <w:widowControl w:val="0"/>
              <w:contextualSpacing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Подготовьте демонстрацию работы всей системы продолжительностью не более 10 минут. Покажите полный цикл от сбора данных до визуализации прогнозов в приложении. Продемонстрируйте взаимодействие агентов, работу API, обновление модели и актуальность прогнозов. Обратите внимание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экспертов</w:t>
            </w:r>
            <w:r w:rsidRPr="00A1263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на интеграцию компонентов, воспроизводимость решения и практическую применимость разработанной системы</w:t>
            </w:r>
            <w:r w:rsidR="003B5B8B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9E5BD9" w:rsidRPr="00F10695" w:rsidRDefault="009E5BD9" w:rsidP="00F10695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3"/>
      <w:bookmarkEnd w:id="14"/>
    </w:p>
    <w:p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1D5723" w:rsidRDefault="001D5723" w:rsidP="001D5723">
      <w:pPr>
        <w:pStyle w:val="3"/>
        <w:numPr>
          <w:ilvl w:val="0"/>
          <w:numId w:val="25"/>
        </w:numPr>
        <w:spacing w:before="0" w:line="240" w:lineRule="auto"/>
        <w:ind w:left="357" w:hanging="357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17" w:name="_Toc78885660"/>
      <w:bookmarkStart w:id="18" w:name="_Toc142037193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Конкурсанты могут использовать защиту для ушей.</w:t>
      </w:r>
    </w:p>
    <w:p w:rsidR="001D5723" w:rsidRDefault="001D5723" w:rsidP="001D5723">
      <w:pPr>
        <w:pStyle w:val="3"/>
        <w:numPr>
          <w:ilvl w:val="0"/>
          <w:numId w:val="25"/>
        </w:numPr>
        <w:spacing w:before="0" w:line="240" w:lineRule="auto"/>
        <w:ind w:left="357" w:hanging="357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Конкурсанты могут принести с собой свои клавиатуры, мышки и коврики для мышек</w:t>
      </w: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</w:p>
    <w:p w:rsidR="001D5723" w:rsidRPr="001D5723" w:rsidRDefault="001D5723" w:rsidP="001D5723"/>
    <w:p w:rsidR="00465470" w:rsidRPr="00B33456" w:rsidRDefault="00A11569" w:rsidP="001D5723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7"/>
      <w:bookmarkEnd w:id="18"/>
    </w:p>
    <w:p w:rsidR="001D5723" w:rsidRPr="001D5723" w:rsidRDefault="001D5723" w:rsidP="001D5723">
      <w:pPr>
        <w:pStyle w:val="3"/>
        <w:numPr>
          <w:ilvl w:val="0"/>
          <w:numId w:val="27"/>
        </w:numPr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19" w:name="_Toc142037194"/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Конкурсанты не должны приносить:</w:t>
      </w:r>
    </w:p>
    <w:p w:rsidR="001D5723" w:rsidRPr="001D5723" w:rsidRDefault="001D5723" w:rsidP="001D5723">
      <w:pPr>
        <w:pStyle w:val="3"/>
        <w:numPr>
          <w:ilvl w:val="0"/>
          <w:numId w:val="26"/>
        </w:numPr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Дополнительные программы.</w:t>
      </w:r>
    </w:p>
    <w:p w:rsidR="001D5723" w:rsidRPr="001D5723" w:rsidRDefault="001D5723" w:rsidP="001D5723">
      <w:pPr>
        <w:pStyle w:val="3"/>
        <w:numPr>
          <w:ilvl w:val="0"/>
          <w:numId w:val="26"/>
        </w:numPr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Мобильные телефоны.</w:t>
      </w:r>
    </w:p>
    <w:p w:rsidR="001D5723" w:rsidRPr="001D5723" w:rsidRDefault="001D5723" w:rsidP="001D5723">
      <w:pPr>
        <w:pStyle w:val="3"/>
        <w:numPr>
          <w:ilvl w:val="0"/>
          <w:numId w:val="26"/>
        </w:numPr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Портативные электронные устройства (планшеты, и т.п.).</w:t>
      </w:r>
    </w:p>
    <w:p w:rsidR="001D5723" w:rsidRPr="001D5723" w:rsidRDefault="001D5723" w:rsidP="001D5723">
      <w:pPr>
        <w:pStyle w:val="3"/>
        <w:numPr>
          <w:ilvl w:val="0"/>
          <w:numId w:val="26"/>
        </w:numPr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Устройства для хранения информации (флэш-накопители, диски, и т.п.).</w:t>
      </w:r>
    </w:p>
    <w:p w:rsidR="00465470" w:rsidRDefault="001D5723" w:rsidP="001D5723">
      <w:pPr>
        <w:pStyle w:val="3"/>
        <w:numPr>
          <w:ilvl w:val="0"/>
          <w:numId w:val="27"/>
        </w:numPr>
        <w:spacing w:before="0" w:line="240" w:lineRule="auto"/>
        <w:ind w:left="357" w:hanging="357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Оборудование не должно иметь доступ к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общим </w:t>
      </w:r>
      <w:r w:rsidRPr="001D572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внутренним локальным сетевым ресурсам (например, общие папки, FTP).</w:t>
      </w:r>
    </w:p>
    <w:p w:rsidR="001D5723" w:rsidRPr="001D5723" w:rsidRDefault="001D5723" w:rsidP="001D5723"/>
    <w:p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AF76EA" w:rsidRPr="001D5723" w:rsidRDefault="00BE2E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sectPr w:rsidR="00AF76EA" w:rsidRPr="001D5723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6C" w:rsidRDefault="004E576C" w:rsidP="00970F49">
      <w:pPr>
        <w:spacing w:after="0" w:line="240" w:lineRule="auto"/>
      </w:pPr>
      <w:r>
        <w:separator/>
      </w:r>
    </w:p>
  </w:endnote>
  <w:endnote w:type="continuationSeparator" w:id="0">
    <w:p w:rsidR="004E576C" w:rsidRDefault="004E576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7F62" w:rsidRPr="00AF76EA" w:rsidRDefault="00D87F62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7D75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6C" w:rsidRDefault="004E576C" w:rsidP="00970F49">
      <w:pPr>
        <w:spacing w:after="0" w:line="240" w:lineRule="auto"/>
      </w:pPr>
      <w:r>
        <w:separator/>
      </w:r>
    </w:p>
  </w:footnote>
  <w:footnote w:type="continuationSeparator" w:id="0">
    <w:p w:rsidR="004E576C" w:rsidRDefault="004E576C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1678C7"/>
    <w:multiLevelType w:val="hybridMultilevel"/>
    <w:tmpl w:val="7B0E4022"/>
    <w:lvl w:ilvl="0" w:tplc="ECB21A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96A2356"/>
    <w:multiLevelType w:val="hybridMultilevel"/>
    <w:tmpl w:val="9DC2BFCC"/>
    <w:lvl w:ilvl="0" w:tplc="04190005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>
      <w:start w:val="1"/>
      <w:numFmt w:val="lowerRoman"/>
      <w:lvlText w:val="%3."/>
      <w:lvlJc w:val="right"/>
      <w:pPr>
        <w:ind w:left="1800" w:hanging="180"/>
      </w:pPr>
    </w:lvl>
    <w:lvl w:ilvl="3" w:tplc="04190001">
      <w:start w:val="1"/>
      <w:numFmt w:val="decimal"/>
      <w:lvlText w:val="%4."/>
      <w:lvlJc w:val="left"/>
      <w:pPr>
        <w:ind w:left="2520" w:hanging="360"/>
      </w:pPr>
    </w:lvl>
    <w:lvl w:ilvl="4" w:tplc="04190003">
      <w:start w:val="1"/>
      <w:numFmt w:val="lowerLetter"/>
      <w:lvlText w:val="%5."/>
      <w:lvlJc w:val="left"/>
      <w:pPr>
        <w:ind w:left="3240" w:hanging="360"/>
      </w:pPr>
    </w:lvl>
    <w:lvl w:ilvl="5" w:tplc="04190005">
      <w:start w:val="1"/>
      <w:numFmt w:val="lowerRoman"/>
      <w:lvlText w:val="%6."/>
      <w:lvlJc w:val="right"/>
      <w:pPr>
        <w:ind w:left="3960" w:hanging="180"/>
      </w:pPr>
    </w:lvl>
    <w:lvl w:ilvl="6" w:tplc="04190001">
      <w:start w:val="1"/>
      <w:numFmt w:val="decimal"/>
      <w:lvlText w:val="%7."/>
      <w:lvlJc w:val="left"/>
      <w:pPr>
        <w:ind w:left="4680" w:hanging="360"/>
      </w:pPr>
    </w:lvl>
    <w:lvl w:ilvl="7" w:tplc="04190003">
      <w:start w:val="1"/>
      <w:numFmt w:val="lowerLetter"/>
      <w:lvlText w:val="%8."/>
      <w:lvlJc w:val="left"/>
      <w:pPr>
        <w:ind w:left="5400" w:hanging="360"/>
      </w:pPr>
    </w:lvl>
    <w:lvl w:ilvl="8" w:tplc="04190005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B5E692A"/>
    <w:multiLevelType w:val="hybridMultilevel"/>
    <w:tmpl w:val="64A0AC44"/>
    <w:lvl w:ilvl="0" w:tplc="2B640DC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6E243E6"/>
    <w:multiLevelType w:val="hybridMultilevel"/>
    <w:tmpl w:val="1ACA3862"/>
    <w:lvl w:ilvl="0" w:tplc="2B640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723CB"/>
    <w:multiLevelType w:val="hybridMultilevel"/>
    <w:tmpl w:val="7B0E4022"/>
    <w:lvl w:ilvl="0" w:tplc="ECB21A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E6788C"/>
    <w:multiLevelType w:val="hybridMultilevel"/>
    <w:tmpl w:val="E13C490C"/>
    <w:lvl w:ilvl="0" w:tplc="2B640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6"/>
  </w:num>
  <w:num w:numId="9">
    <w:abstractNumId w:val="24"/>
  </w:num>
  <w:num w:numId="10">
    <w:abstractNumId w:val="8"/>
  </w:num>
  <w:num w:numId="11">
    <w:abstractNumId w:val="4"/>
  </w:num>
  <w:num w:numId="12">
    <w:abstractNumId w:val="13"/>
  </w:num>
  <w:num w:numId="13">
    <w:abstractNumId w:val="27"/>
  </w:num>
  <w:num w:numId="14">
    <w:abstractNumId w:val="14"/>
  </w:num>
  <w:num w:numId="15">
    <w:abstractNumId w:val="25"/>
  </w:num>
  <w:num w:numId="16">
    <w:abstractNumId w:val="28"/>
  </w:num>
  <w:num w:numId="17">
    <w:abstractNumId w:val="26"/>
  </w:num>
  <w:num w:numId="18">
    <w:abstractNumId w:val="23"/>
  </w:num>
  <w:num w:numId="19">
    <w:abstractNumId w:val="17"/>
  </w:num>
  <w:num w:numId="20">
    <w:abstractNumId w:val="20"/>
  </w:num>
  <w:num w:numId="21">
    <w:abstractNumId w:val="15"/>
  </w:num>
  <w:num w:numId="22">
    <w:abstractNumId w:val="5"/>
  </w:num>
  <w:num w:numId="23">
    <w:abstractNumId w:val="2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"/>
  </w:num>
  <w:num w:numId="28">
    <w:abstractNumId w:val="22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12FF4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77D42"/>
    <w:rsid w:val="001A67E0"/>
    <w:rsid w:val="001B1F20"/>
    <w:rsid w:val="001B4B65"/>
    <w:rsid w:val="001C1282"/>
    <w:rsid w:val="001C63E7"/>
    <w:rsid w:val="001D5723"/>
    <w:rsid w:val="001E1DF9"/>
    <w:rsid w:val="00207E02"/>
    <w:rsid w:val="00213AF8"/>
    <w:rsid w:val="00220E70"/>
    <w:rsid w:val="002228E8"/>
    <w:rsid w:val="00236F3C"/>
    <w:rsid w:val="00237603"/>
    <w:rsid w:val="00243ADE"/>
    <w:rsid w:val="00245F15"/>
    <w:rsid w:val="00247E8C"/>
    <w:rsid w:val="00270E01"/>
    <w:rsid w:val="002776A1"/>
    <w:rsid w:val="0029547E"/>
    <w:rsid w:val="002A2935"/>
    <w:rsid w:val="002B1426"/>
    <w:rsid w:val="002B3DBB"/>
    <w:rsid w:val="002F2906"/>
    <w:rsid w:val="0031424A"/>
    <w:rsid w:val="0032065E"/>
    <w:rsid w:val="003242E1"/>
    <w:rsid w:val="00333911"/>
    <w:rsid w:val="00334165"/>
    <w:rsid w:val="00347AD8"/>
    <w:rsid w:val="00347D75"/>
    <w:rsid w:val="003531E7"/>
    <w:rsid w:val="003601A4"/>
    <w:rsid w:val="0037535C"/>
    <w:rsid w:val="003815C7"/>
    <w:rsid w:val="003934F8"/>
    <w:rsid w:val="00397A1B"/>
    <w:rsid w:val="003A21C8"/>
    <w:rsid w:val="003A53D3"/>
    <w:rsid w:val="003A61BA"/>
    <w:rsid w:val="003B5B8B"/>
    <w:rsid w:val="003B6085"/>
    <w:rsid w:val="003C1D7A"/>
    <w:rsid w:val="003C269F"/>
    <w:rsid w:val="003C5F97"/>
    <w:rsid w:val="003D1E51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A3E00"/>
    <w:rsid w:val="004A58E7"/>
    <w:rsid w:val="004B692B"/>
    <w:rsid w:val="004C3CAF"/>
    <w:rsid w:val="004C703E"/>
    <w:rsid w:val="004D096E"/>
    <w:rsid w:val="004E576C"/>
    <w:rsid w:val="004E785E"/>
    <w:rsid w:val="004E7905"/>
    <w:rsid w:val="004F2833"/>
    <w:rsid w:val="005055FF"/>
    <w:rsid w:val="00510059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AAE"/>
    <w:rsid w:val="006C6D6D"/>
    <w:rsid w:val="006C7A3B"/>
    <w:rsid w:val="006C7CE4"/>
    <w:rsid w:val="006F4464"/>
    <w:rsid w:val="00707AF6"/>
    <w:rsid w:val="00714CA4"/>
    <w:rsid w:val="007250D9"/>
    <w:rsid w:val="007274B8"/>
    <w:rsid w:val="00727F97"/>
    <w:rsid w:val="00730AE0"/>
    <w:rsid w:val="0074372D"/>
    <w:rsid w:val="007571FF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0954"/>
    <w:rsid w:val="007C3E4F"/>
    <w:rsid w:val="007D3601"/>
    <w:rsid w:val="007D6C20"/>
    <w:rsid w:val="007E73B4"/>
    <w:rsid w:val="00812516"/>
    <w:rsid w:val="00832EBB"/>
    <w:rsid w:val="00834734"/>
    <w:rsid w:val="00835BF6"/>
    <w:rsid w:val="008668D2"/>
    <w:rsid w:val="008761F3"/>
    <w:rsid w:val="00881DD2"/>
    <w:rsid w:val="00882B54"/>
    <w:rsid w:val="008912AE"/>
    <w:rsid w:val="008B0F23"/>
    <w:rsid w:val="008B560B"/>
    <w:rsid w:val="008B6839"/>
    <w:rsid w:val="008C41F7"/>
    <w:rsid w:val="008D6DCF"/>
    <w:rsid w:val="008E5424"/>
    <w:rsid w:val="008E5E7D"/>
    <w:rsid w:val="00900604"/>
    <w:rsid w:val="00901689"/>
    <w:rsid w:val="009018F0"/>
    <w:rsid w:val="00906E82"/>
    <w:rsid w:val="009203A8"/>
    <w:rsid w:val="00937D4D"/>
    <w:rsid w:val="009440D0"/>
    <w:rsid w:val="00945E13"/>
    <w:rsid w:val="00946CBD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1263C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AD4"/>
    <w:rsid w:val="00A91D4B"/>
    <w:rsid w:val="00A962D4"/>
    <w:rsid w:val="00A9790B"/>
    <w:rsid w:val="00AA2B8A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316E"/>
    <w:rsid w:val="00C740CF"/>
    <w:rsid w:val="00C8277D"/>
    <w:rsid w:val="00C95538"/>
    <w:rsid w:val="00C96567"/>
    <w:rsid w:val="00C97E44"/>
    <w:rsid w:val="00CA3287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87F62"/>
    <w:rsid w:val="00D96994"/>
    <w:rsid w:val="00DC2739"/>
    <w:rsid w:val="00DE39D8"/>
    <w:rsid w:val="00DE5614"/>
    <w:rsid w:val="00E0407E"/>
    <w:rsid w:val="00E04FDF"/>
    <w:rsid w:val="00E15F2A"/>
    <w:rsid w:val="00E279E8"/>
    <w:rsid w:val="00E41CEE"/>
    <w:rsid w:val="00E579D6"/>
    <w:rsid w:val="00E75567"/>
    <w:rsid w:val="00E857D6"/>
    <w:rsid w:val="00E957BA"/>
    <w:rsid w:val="00EA0163"/>
    <w:rsid w:val="00EA0C3A"/>
    <w:rsid w:val="00EA30C6"/>
    <w:rsid w:val="00EA4A93"/>
    <w:rsid w:val="00EB2779"/>
    <w:rsid w:val="00EB4FF8"/>
    <w:rsid w:val="00ED18F9"/>
    <w:rsid w:val="00ED53C9"/>
    <w:rsid w:val="00EE197A"/>
    <w:rsid w:val="00EE7DA3"/>
    <w:rsid w:val="00F10695"/>
    <w:rsid w:val="00F1662D"/>
    <w:rsid w:val="00F3099C"/>
    <w:rsid w:val="00F35F4F"/>
    <w:rsid w:val="00F50AC5"/>
    <w:rsid w:val="00F6025D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  <w:rsid w:val="00FD6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64BFC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styleId="-46">
    <w:name w:val="List Table 4 Accent 6"/>
    <w:basedOn w:val="a3"/>
    <w:uiPriority w:val="49"/>
    <w:rsid w:val="003B5B8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460">
    <w:name w:val="Grid Table 4 Accent 6"/>
    <w:basedOn w:val="a3"/>
    <w:uiPriority w:val="49"/>
    <w:rsid w:val="003B5B8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6FB0F-727C-4D91-99E9-0B45EB0E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22</Pages>
  <Words>4933</Words>
  <Characters>28122</Characters>
  <Application>Microsoft Office Word</Application>
  <DocSecurity>0</DocSecurity>
  <Lines>234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Смирнов Евгений Михайлович</cp:lastModifiedBy>
  <cp:revision>47</cp:revision>
  <dcterms:created xsi:type="dcterms:W3CDTF">2023-10-10T08:10:00Z</dcterms:created>
  <dcterms:modified xsi:type="dcterms:W3CDTF">2025-09-15T12:15:00Z</dcterms:modified>
</cp:coreProperties>
</file>