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hint="default" w:ascii="PT Astra Serif" w:hAnsi="PT Astra Serif" w:cs="PT Astra Serif"/>
        </w:rPr>
        <w:id w:val="326794676"/>
        <w:docPartObj>
          <w:docPartGallery w:val="autotext"/>
        </w:docPartObj>
      </w:sdtPr>
      <w:sdtEndPr>
        <w:rPr>
          <w:rFonts w:hint="default" w:ascii="PT Astra Serif" w:hAnsi="PT Astra Serif" w:eastAsia="Arial Unicode MS" w:cs="PT Astra Serif"/>
          <w:sz w:val="72"/>
          <w:szCs w:val="72"/>
        </w:rPr>
      </w:sdtEndPr>
      <w:sdtContent>
        <w:p>
          <w:pPr>
            <w:spacing w:after="0" w:line="276" w:lineRule="auto"/>
            <w:contextualSpacing/>
            <w:jc w:val="both"/>
            <w:rPr>
              <w:rFonts w:hint="default" w:ascii="PT Astra Serif" w:hAnsi="PT Astra Serif" w:cs="PT Astra Serif"/>
              <w:sz w:val="56"/>
              <w:szCs w:val="56"/>
            </w:rPr>
          </w:pPr>
          <w:r>
            <w:rPr>
              <w:rFonts w:hint="default" w:ascii="PT Astra Serif" w:hAnsi="PT Astra Serif" w:cs="PT Astra Serif"/>
              <w:sz w:val="56"/>
              <w:szCs w:val="56"/>
            </w:rPr>
            <w:drawing>
              <wp:inline distT="0" distB="0" distL="0" distR="0">
                <wp:extent cx="3340735" cy="1286510"/>
                <wp:effectExtent l="0" t="0" r="0" b="889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0735" cy="1286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spacing w:after="0" w:line="276" w:lineRule="auto"/>
            <w:contextualSpacing/>
            <w:jc w:val="both"/>
            <w:rPr>
              <w:rFonts w:hint="default" w:ascii="PT Astra Serif" w:hAnsi="PT Astra Serif" w:cs="PT Astra Serif"/>
              <w:sz w:val="56"/>
              <w:szCs w:val="56"/>
            </w:rPr>
          </w:pPr>
        </w:p>
        <w:p>
          <w:pPr>
            <w:spacing w:after="0" w:line="276" w:lineRule="auto"/>
            <w:contextualSpacing/>
            <w:jc w:val="both"/>
            <w:rPr>
              <w:rFonts w:hint="default" w:ascii="PT Astra Serif" w:hAnsi="PT Astra Serif" w:cs="PT Astra Serif"/>
              <w:sz w:val="56"/>
              <w:szCs w:val="56"/>
            </w:rPr>
          </w:pPr>
        </w:p>
        <w:p>
          <w:pPr>
            <w:spacing w:after="0" w:line="276" w:lineRule="auto"/>
            <w:contextualSpacing/>
            <w:jc w:val="both"/>
            <w:rPr>
              <w:rFonts w:hint="default" w:ascii="PT Astra Serif" w:hAnsi="PT Astra Serif" w:cs="PT Astra Serif"/>
              <w:sz w:val="56"/>
              <w:szCs w:val="56"/>
            </w:rPr>
          </w:pPr>
        </w:p>
        <w:p>
          <w:pPr>
            <w:spacing w:after="0" w:line="276" w:lineRule="auto"/>
            <w:contextualSpacing/>
            <w:jc w:val="center"/>
            <w:rPr>
              <w:rFonts w:hint="default" w:ascii="PT Astra Serif" w:hAnsi="PT Astra Serif" w:eastAsia="Arial Unicode MS" w:cs="PT Astra Serif"/>
              <w:sz w:val="56"/>
              <w:szCs w:val="56"/>
            </w:rPr>
          </w:pPr>
          <w:r>
            <w:rPr>
              <w:rFonts w:hint="default" w:ascii="PT Astra Serif" w:hAnsi="PT Astra Serif" w:eastAsia="Arial Unicode MS" w:cs="PT Astra Serif"/>
              <w:sz w:val="56"/>
              <w:szCs w:val="56"/>
            </w:rPr>
            <w:t>КОНКУРСНОЕ ЗАДАНИЕ КОМПЕТЕНЦИИ</w:t>
          </w:r>
        </w:p>
        <w:p>
          <w:pPr>
            <w:spacing w:after="0" w:line="276" w:lineRule="auto"/>
            <w:contextualSpacing/>
            <w:jc w:val="center"/>
            <w:rPr>
              <w:rFonts w:hint="default" w:ascii="PT Astra Serif" w:hAnsi="PT Astra Serif" w:eastAsia="Times New Roman" w:cs="PT Astra Serif"/>
              <w:sz w:val="40"/>
              <w:szCs w:val="40"/>
            </w:rPr>
          </w:pPr>
          <w:bookmarkStart w:id="0" w:name="_Hlk183436200"/>
          <w:r>
            <w:rPr>
              <w:rFonts w:hint="default" w:ascii="PT Astra Serif" w:hAnsi="PT Astra Serif" w:eastAsia="Times New Roman" w:cs="PT Astra Serif"/>
              <w:sz w:val="40"/>
              <w:szCs w:val="40"/>
            </w:rPr>
            <w:t>«</w:t>
          </w:r>
          <w:bookmarkEnd w:id="0"/>
          <w:r>
            <w:rPr>
              <w:rFonts w:hint="default" w:ascii="PT Astra Serif" w:hAnsi="PT Astra Serif" w:eastAsia="Times New Roman" w:cs="PT Astra Serif"/>
              <w:sz w:val="40"/>
              <w:szCs w:val="40"/>
            </w:rPr>
            <w:t>Программно-проектное управление»</w:t>
          </w:r>
        </w:p>
        <w:p>
          <w:pPr>
            <w:spacing w:after="0" w:line="276" w:lineRule="auto"/>
            <w:contextualSpacing/>
            <w:jc w:val="center"/>
            <w:rPr>
              <w:rFonts w:hint="default" w:ascii="PT Astra Serif" w:hAnsi="PT Astra Serif" w:eastAsia="Times New Roman" w:cs="PT Astra Serif"/>
              <w:i/>
              <w:iCs/>
              <w:sz w:val="40"/>
              <w:szCs w:val="40"/>
            </w:rPr>
          </w:pPr>
          <w:r>
            <w:rPr>
              <w:rFonts w:hint="default" w:ascii="PT Astra Serif" w:hAnsi="PT Astra Serif" w:eastAsia="Times New Roman" w:cs="PT Astra Serif"/>
              <w:i/>
              <w:iCs/>
              <w:sz w:val="40"/>
              <w:szCs w:val="40"/>
            </w:rPr>
            <w:t>Юниоры</w:t>
          </w:r>
        </w:p>
        <w:p>
          <w:pPr>
            <w:spacing w:after="0" w:line="276" w:lineRule="auto"/>
            <w:contextualSpacing/>
            <w:jc w:val="center"/>
            <w:rPr>
              <w:rFonts w:hint="default" w:ascii="PT Astra Serif" w:hAnsi="PT Astra Serif" w:eastAsia="Arial Unicode MS" w:cs="PT Astra Serif"/>
              <w:sz w:val="36"/>
              <w:szCs w:val="36"/>
            </w:rPr>
          </w:pPr>
          <w:r>
            <w:rPr>
              <w:rFonts w:hint="default" w:ascii="PT Astra Serif" w:hAnsi="PT Astra Serif" w:eastAsia="Arial Unicode MS" w:cs="PT Astra Serif"/>
              <w:sz w:val="36"/>
              <w:szCs w:val="36"/>
            </w:rPr>
            <w:t>Региональный этап Чемпионата по профессиональному мастерству «Профессионалы» в 202</w:t>
          </w:r>
          <w:r>
            <w:rPr>
              <w:rFonts w:hint="default" w:ascii="PT Astra Serif" w:hAnsi="PT Astra Serif" w:eastAsia="Arial Unicode MS" w:cs="PT Astra Serif"/>
              <w:sz w:val="36"/>
              <w:szCs w:val="36"/>
              <w:lang w:val="ru-RU"/>
            </w:rPr>
            <w:t>6</w:t>
          </w:r>
          <w:r>
            <w:rPr>
              <w:rFonts w:hint="default" w:ascii="PT Astra Serif" w:hAnsi="PT Astra Serif" w:eastAsia="Arial Unicode MS" w:cs="PT Astra Serif"/>
              <w:sz w:val="36"/>
              <w:szCs w:val="36"/>
            </w:rPr>
            <w:t xml:space="preserve"> г</w:t>
          </w:r>
        </w:p>
        <w:p>
          <w:pPr>
            <w:spacing w:after="0" w:line="276" w:lineRule="auto"/>
            <w:contextualSpacing/>
            <w:jc w:val="center"/>
            <w:rPr>
              <w:rFonts w:hint="default" w:ascii="PT Astra Serif" w:hAnsi="PT Astra Serif" w:eastAsia="Arial Unicode MS" w:cs="PT Astra Serif"/>
              <w:sz w:val="36"/>
              <w:szCs w:val="36"/>
              <w:lang w:val="ru-RU"/>
            </w:rPr>
          </w:pPr>
          <w:r>
            <w:rPr>
              <w:rFonts w:hint="default" w:ascii="PT Astra Serif" w:hAnsi="PT Astra Serif" w:eastAsia="Arial Unicode MS" w:cs="PT Astra Serif"/>
              <w:sz w:val="36"/>
              <w:szCs w:val="36"/>
              <w:lang w:val="ru-RU"/>
            </w:rPr>
            <w:t>Кемеровская область - Кузбасс</w:t>
          </w:r>
        </w:p>
        <w:p>
          <w:pPr>
            <w:spacing w:after="0" w:line="276" w:lineRule="auto"/>
            <w:contextualSpacing/>
            <w:jc w:val="center"/>
            <w:rPr>
              <w:rFonts w:hint="default" w:ascii="PT Astra Serif" w:hAnsi="PT Astra Serif" w:eastAsia="Arial Unicode MS" w:cs="PT Astra Serif"/>
              <w:sz w:val="20"/>
              <w:szCs w:val="20"/>
            </w:rPr>
          </w:pPr>
        </w:p>
      </w:sdtContent>
    </w:sdt>
    <w:p>
      <w:pPr>
        <w:spacing w:after="0" w:line="276" w:lineRule="auto"/>
        <w:contextualSpacing/>
        <w:rPr>
          <w:rFonts w:hint="default" w:ascii="PT Astra Serif" w:hAnsi="PT Astra Serif" w:cs="PT Astra Serif"/>
          <w:sz w:val="36"/>
          <w:szCs w:val="36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spacing w:after="0" w:line="276" w:lineRule="auto"/>
        <w:contextualSpacing/>
        <w:jc w:val="center"/>
        <w:rPr>
          <w:rFonts w:hint="default" w:ascii="PT Astra Serif" w:hAnsi="PT Astra Serif" w:cs="PT Astra Serif"/>
          <w:sz w:val="28"/>
          <w:szCs w:val="28"/>
          <w:lang w:bidi="en-US"/>
        </w:rPr>
        <w:sectPr>
          <w:footerReference r:id="rId5" w:type="default"/>
          <w:pgSz w:w="11906" w:h="16838"/>
          <w:pgMar w:top="1134" w:right="851" w:bottom="1134" w:left="1701" w:header="624" w:footer="170" w:gutter="0"/>
          <w:pgNumType w:start="1"/>
          <w:cols w:space="708" w:num="1"/>
          <w:titlePg/>
          <w:docGrid w:linePitch="360" w:charSpace="0"/>
        </w:sectPr>
      </w:pPr>
      <w:r>
        <w:rPr>
          <w:rFonts w:hint="default" w:ascii="PT Astra Serif" w:hAnsi="PT Astra Serif" w:cs="PT Astra Serif"/>
          <w:sz w:val="28"/>
          <w:szCs w:val="28"/>
          <w:lang w:bidi="en-US"/>
        </w:rPr>
        <w:t>202</w:t>
      </w:r>
      <w:r>
        <w:rPr>
          <w:rFonts w:hint="default" w:ascii="PT Astra Serif" w:hAnsi="PT Astra Serif" w:cs="PT Astra Serif"/>
          <w:sz w:val="28"/>
          <w:szCs w:val="28"/>
          <w:lang w:val="ru-RU" w:bidi="en-US"/>
        </w:rPr>
        <w:t>6</w:t>
      </w:r>
      <w:r>
        <w:rPr>
          <w:rFonts w:hint="default" w:ascii="PT Astra Serif" w:hAnsi="PT Astra Serif" w:cs="PT Astra Serif"/>
          <w:sz w:val="28"/>
          <w:szCs w:val="28"/>
          <w:lang w:bidi="en-US"/>
        </w:rPr>
        <w:t xml:space="preserve"> г.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  <w:lang w:bidi="en-US"/>
        </w:rPr>
      </w:pPr>
      <w:r>
        <w:rPr>
          <w:rFonts w:hint="default" w:ascii="PT Astra Serif" w:hAnsi="PT Astra Serif" w:cs="PT Astra Serif"/>
          <w:sz w:val="28"/>
          <w:szCs w:val="28"/>
          <w:lang w:bidi="en-US"/>
        </w:rPr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>
      <w:pPr>
        <w:pStyle w:val="81"/>
        <w:shd w:val="clear" w:color="auto" w:fill="auto"/>
        <w:spacing w:line="360" w:lineRule="auto"/>
        <w:ind w:firstLine="0"/>
        <w:contextualSpacing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pStyle w:val="48"/>
        <w:numPr>
          <w:ilvl w:val="0"/>
          <w:numId w:val="0"/>
        </w:numPr>
        <w:ind w:left="360" w:hanging="360"/>
        <w:contextualSpacing/>
        <w:jc w:val="center"/>
        <w:rPr>
          <w:rFonts w:hint="default" w:ascii="PT Astra Serif" w:hAnsi="PT Astra Serif" w:cs="PT Astra Serif"/>
          <w:b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>
      <w:pPr>
        <w:pStyle w:val="48"/>
        <w:numPr>
          <w:ilvl w:val="0"/>
          <w:numId w:val="0"/>
        </w:numPr>
        <w:contextualSpacing/>
        <w:jc w:val="both"/>
        <w:rPr>
          <w:rFonts w:hint="default" w:ascii="PT Astra Serif" w:hAnsi="PT Astra Serif" w:cs="PT Astra Serif"/>
          <w:bCs/>
          <w:sz w:val="28"/>
          <w:szCs w:val="28"/>
          <w:lang w:val="ru-RU"/>
        </w:rPr>
      </w:pPr>
    </w:p>
    <w:p>
      <w:pPr>
        <w:pStyle w:val="26"/>
        <w:contextualSpacing/>
        <w:rPr>
          <w:rFonts w:hint="default" w:ascii="PT Astra Serif" w:hAnsi="PT Astra Serif" w:cs="PT Astra Serif" w:eastAsiaTheme="minorEastAsia"/>
          <w:bCs w:val="0"/>
          <w:sz w:val="28"/>
          <w:lang w:val="ru-RU" w:eastAsia="ru-RU"/>
        </w:rPr>
      </w:pPr>
      <w:r>
        <w:rPr>
          <w:rFonts w:hint="default" w:ascii="PT Astra Serif" w:hAnsi="PT Astra Serif" w:cs="PT Astra Serif"/>
          <w:sz w:val="28"/>
          <w:lang w:val="ru-RU" w:eastAsia="ru-RU"/>
        </w:rPr>
        <w:fldChar w:fldCharType="begin"/>
      </w:r>
      <w:r>
        <w:rPr>
          <w:rFonts w:hint="default" w:ascii="PT Astra Serif" w:hAnsi="PT Astra Serif" w:cs="PT Astra Serif"/>
          <w:sz w:val="28"/>
          <w:lang w:val="ru-RU" w:eastAsia="ru-RU"/>
        </w:rPr>
        <w:instrText xml:space="preserve"> TOC \o "1-2" \h \z \u </w:instrText>
      </w:r>
      <w:r>
        <w:rPr>
          <w:rFonts w:hint="default" w:ascii="PT Astra Serif" w:hAnsi="PT Astra Serif" w:cs="PT Astra Serif"/>
          <w:sz w:val="28"/>
          <w:lang w:val="ru-RU" w:eastAsia="ru-RU"/>
        </w:rPr>
        <w:fldChar w:fldCharType="separate"/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"_Toc184375251"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</w:rPr>
        <w:t>1. ОСНОВНЫЕ ТРЕБОВАНИЯ КОМПЕТЕНЦИИ</w:t>
      </w:r>
      <w:r>
        <w:rPr>
          <w:rFonts w:hint="default" w:ascii="PT Astra Serif" w:hAnsi="PT Astra Serif" w:cs="PT Astra Serif"/>
          <w:sz w:val="28"/>
        </w:rPr>
        <w:tab/>
      </w:r>
      <w:r>
        <w:rPr>
          <w:rFonts w:hint="default" w:ascii="PT Astra Serif" w:hAnsi="PT Astra Serif" w:cs="PT Astra Serif"/>
          <w:sz w:val="28"/>
        </w:rPr>
        <w:fldChar w:fldCharType="begin"/>
      </w:r>
      <w:r>
        <w:rPr>
          <w:rFonts w:hint="default" w:ascii="PT Astra Serif" w:hAnsi="PT Astra Serif" w:cs="PT Astra Serif"/>
          <w:sz w:val="28"/>
        </w:rPr>
        <w:instrText xml:space="preserve"> PAGEREF _Toc184375251 \h </w:instrText>
      </w:r>
      <w:r>
        <w:rPr>
          <w:rFonts w:hint="default" w:ascii="PT Astra Serif" w:hAnsi="PT Astra Serif" w:cs="PT Astra Serif"/>
          <w:sz w:val="28"/>
        </w:rPr>
        <w:fldChar w:fldCharType="separate"/>
      </w:r>
      <w:r>
        <w:rPr>
          <w:rFonts w:hint="default" w:ascii="PT Astra Serif" w:hAnsi="PT Astra Serif" w:cs="PT Astra Serif"/>
          <w:sz w:val="28"/>
        </w:rPr>
        <w:t>2</w:t>
      </w:r>
      <w:r>
        <w:rPr>
          <w:rFonts w:hint="default" w:ascii="PT Astra Serif" w:hAnsi="PT Astra Serif" w:cs="PT Astra Serif"/>
          <w:sz w:val="28"/>
        </w:rPr>
        <w:fldChar w:fldCharType="end"/>
      </w:r>
      <w:r>
        <w:rPr>
          <w:rFonts w:hint="default" w:ascii="PT Astra Serif" w:hAnsi="PT Astra Serif" w:cs="PT Astra Serif"/>
          <w:sz w:val="28"/>
        </w:rPr>
        <w:fldChar w:fldCharType="end"/>
      </w:r>
    </w:p>
    <w:p>
      <w:pPr>
        <w:pStyle w:val="28"/>
        <w:spacing w:line="360" w:lineRule="auto"/>
        <w:contextualSpacing/>
        <w:rPr>
          <w:rFonts w:hint="default" w:ascii="PT Astra Serif" w:hAnsi="PT Astra Serif" w:cs="PT Astra Serif" w:eastAsiaTheme="minorEastAsia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"_Toc184375252"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  <w:szCs w:val="28"/>
        </w:rPr>
        <w:t>1.1. ОБЩИЕ СВЕДЕНИЯ О ТРЕБОВАНИЯХ КОМПЕТЕНЦИИ</w:t>
      </w:r>
      <w:r>
        <w:rPr>
          <w:rFonts w:hint="default" w:ascii="PT Astra Serif" w:hAnsi="PT Astra Serif" w:cs="PT Astra Serif"/>
          <w:sz w:val="28"/>
          <w:szCs w:val="28"/>
        </w:rPr>
        <w:tab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PAGEREF _Toc184375252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cs="PT Astra Serif"/>
          <w:sz w:val="28"/>
          <w:szCs w:val="28"/>
        </w:rPr>
        <w:t>2</w:t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</w:p>
    <w:p>
      <w:pPr>
        <w:pStyle w:val="28"/>
        <w:spacing w:line="360" w:lineRule="auto"/>
        <w:contextualSpacing/>
        <w:rPr>
          <w:rFonts w:hint="default" w:ascii="PT Astra Serif" w:hAnsi="PT Astra Serif" w:cs="PT Astra Serif" w:eastAsiaTheme="minorEastAsia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"_Toc184375253"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  <w:szCs w:val="28"/>
        </w:rPr>
        <w:t xml:space="preserve">1.2. ПЕРЕЧЕНЬ ПРОФЕССИОНАЛЬНЫХ ЗАДАЧ СПЕЦИАЛИСТА ПО КОМПЕТЕНЦИИ </w:t>
      </w:r>
      <w:r>
        <w:rPr>
          <w:rStyle w:val="16"/>
          <w:rFonts w:hint="default" w:ascii="PT Astra Serif" w:hAnsi="PT Astra Serif" w:cs="PT Astra Serif" w:eastAsiaTheme="minorHAnsi"/>
          <w:sz w:val="28"/>
          <w:szCs w:val="28"/>
        </w:rPr>
        <w:t>«Программно-проектное управление» (бывш. - «Управление жизненным циклом/ Управление программой»)</w:t>
      </w:r>
      <w:r>
        <w:rPr>
          <w:rStyle w:val="16"/>
          <w:rFonts w:hint="default" w:ascii="PT Astra Serif" w:hAnsi="PT Astra Serif" w:cs="PT Astra Serif"/>
          <w:sz w:val="28"/>
          <w:szCs w:val="28"/>
        </w:rPr>
        <w:t xml:space="preserve"> _»</w:t>
      </w:r>
      <w:r>
        <w:rPr>
          <w:rFonts w:hint="default" w:ascii="PT Astra Serif" w:hAnsi="PT Astra Serif" w:cs="PT Astra Serif"/>
          <w:sz w:val="28"/>
          <w:szCs w:val="28"/>
        </w:rPr>
        <w:tab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PAGEREF _Toc184375253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cs="PT Astra Serif"/>
          <w:sz w:val="28"/>
          <w:szCs w:val="28"/>
        </w:rPr>
        <w:t>2</w:t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</w:p>
    <w:p>
      <w:pPr>
        <w:pStyle w:val="28"/>
        <w:spacing w:line="360" w:lineRule="auto"/>
        <w:contextualSpacing/>
        <w:rPr>
          <w:rFonts w:hint="default" w:ascii="PT Astra Serif" w:hAnsi="PT Astra Serif" w:cs="PT Astra Serif" w:eastAsiaTheme="minorEastAsia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"_Toc184375254"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  <w:szCs w:val="28"/>
        </w:rPr>
        <w:t>1.3. ТРЕБОВАНИЯ К СХЕМЕ ОЦЕНКИ</w:t>
      </w:r>
      <w:r>
        <w:rPr>
          <w:rFonts w:hint="default" w:ascii="PT Astra Serif" w:hAnsi="PT Astra Serif" w:cs="PT Astra Serif"/>
          <w:sz w:val="28"/>
          <w:szCs w:val="28"/>
        </w:rPr>
        <w:tab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PAGEREF _Toc184375254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cs="PT Astra Serif"/>
          <w:sz w:val="28"/>
          <w:szCs w:val="28"/>
        </w:rPr>
        <w:t>11</w:t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</w:p>
    <w:p>
      <w:pPr>
        <w:pStyle w:val="28"/>
        <w:spacing w:line="360" w:lineRule="auto"/>
        <w:contextualSpacing/>
        <w:rPr>
          <w:rFonts w:hint="default" w:ascii="PT Astra Serif" w:hAnsi="PT Astra Serif" w:cs="PT Astra Serif" w:eastAsiaTheme="minorEastAsia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"_Toc184375255"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  <w:szCs w:val="28"/>
        </w:rPr>
        <w:t>1.4. СПЕЦИФИКАЦИЯ ОЦЕНКИ КОМПЕТЕНЦИИ</w:t>
      </w:r>
      <w:r>
        <w:rPr>
          <w:rFonts w:hint="default" w:ascii="PT Astra Serif" w:hAnsi="PT Astra Serif" w:cs="PT Astra Serif"/>
          <w:sz w:val="28"/>
          <w:szCs w:val="28"/>
        </w:rPr>
        <w:tab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PAGEREF _Toc184375255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cs="PT Astra Serif"/>
          <w:sz w:val="28"/>
          <w:szCs w:val="28"/>
        </w:rPr>
        <w:t>11</w:t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</w:p>
    <w:p>
      <w:pPr>
        <w:pStyle w:val="28"/>
        <w:spacing w:line="360" w:lineRule="auto"/>
        <w:contextualSpacing/>
        <w:rPr>
          <w:rFonts w:hint="default" w:ascii="PT Astra Serif" w:hAnsi="PT Astra Serif" w:cs="PT Astra Serif" w:eastAsiaTheme="minorEastAsia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"_Toc184375256"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  <w:szCs w:val="28"/>
        </w:rPr>
        <w:t>1.5. КОНКУРСНОЕ ЗАДАНИЕ</w:t>
      </w:r>
      <w:r>
        <w:rPr>
          <w:rFonts w:hint="default" w:ascii="PT Astra Serif" w:hAnsi="PT Astra Serif" w:cs="PT Astra Serif"/>
          <w:sz w:val="28"/>
          <w:szCs w:val="28"/>
        </w:rPr>
        <w:tab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PAGEREF _Toc184375256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cs="PT Astra Serif"/>
          <w:sz w:val="28"/>
          <w:szCs w:val="28"/>
        </w:rPr>
        <w:t>12</w:t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</w:p>
    <w:p>
      <w:pPr>
        <w:pStyle w:val="28"/>
        <w:spacing w:line="360" w:lineRule="auto"/>
        <w:contextualSpacing/>
        <w:rPr>
          <w:rFonts w:hint="default" w:ascii="PT Astra Serif" w:hAnsi="PT Astra Serif" w:cs="PT Astra Serif" w:eastAsiaTheme="minorEastAsia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"_Toc184375257"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  <w:szCs w:val="28"/>
        </w:rPr>
        <w:t>1.5.1. Разработка/выбор конкурсного задания</w:t>
      </w:r>
      <w:r>
        <w:rPr>
          <w:rFonts w:hint="default" w:ascii="PT Astra Serif" w:hAnsi="PT Astra Serif" w:cs="PT Astra Serif"/>
          <w:sz w:val="28"/>
          <w:szCs w:val="28"/>
        </w:rPr>
        <w:tab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PAGEREF _Toc184375257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cs="PT Astra Serif"/>
          <w:sz w:val="28"/>
          <w:szCs w:val="28"/>
        </w:rPr>
        <w:t>13</w:t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</w:p>
    <w:p>
      <w:pPr>
        <w:pStyle w:val="28"/>
        <w:spacing w:line="360" w:lineRule="auto"/>
        <w:contextualSpacing/>
        <w:rPr>
          <w:rFonts w:hint="default" w:ascii="PT Astra Serif" w:hAnsi="PT Astra Serif" w:cs="PT Astra Serif" w:eastAsiaTheme="minorEastAsia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"_Toc184375258"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  <w:szCs w:val="28"/>
        </w:rPr>
        <w:t>1.5.2. Структура модулей конкурсного задания</w:t>
      </w:r>
      <w:r>
        <w:rPr>
          <w:rFonts w:hint="default" w:ascii="PT Astra Serif" w:hAnsi="PT Astra Serif" w:cs="PT Astra Serif"/>
          <w:sz w:val="28"/>
          <w:szCs w:val="28"/>
        </w:rPr>
        <w:tab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PAGEREF _Toc184375258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cs="PT Astra Serif"/>
          <w:sz w:val="28"/>
          <w:szCs w:val="28"/>
        </w:rPr>
        <w:t>13</w:t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</w:p>
    <w:p>
      <w:pPr>
        <w:pStyle w:val="26"/>
        <w:contextualSpacing/>
        <w:rPr>
          <w:rFonts w:hint="default" w:ascii="PT Astra Serif" w:hAnsi="PT Astra Serif" w:cs="PT Astra Serif" w:eastAsiaTheme="minorEastAsia"/>
          <w:bCs w:val="0"/>
          <w:sz w:val="28"/>
          <w:lang w:val="ru-RU" w:eastAsia="ru-RU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"_Toc184375259"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</w:rPr>
        <w:t>2. СПЕЦИАЛЬНЫЕ ПРАВИЛА КОМПЕТЕНЦИИ</w:t>
      </w:r>
      <w:r>
        <w:rPr>
          <w:rFonts w:hint="default" w:ascii="PT Astra Serif" w:hAnsi="PT Astra Serif" w:cs="PT Astra Serif"/>
          <w:sz w:val="28"/>
        </w:rPr>
        <w:tab/>
      </w:r>
      <w:r>
        <w:rPr>
          <w:rFonts w:hint="default" w:ascii="PT Astra Serif" w:hAnsi="PT Astra Serif" w:cs="PT Astra Serif"/>
          <w:sz w:val="28"/>
        </w:rPr>
        <w:fldChar w:fldCharType="begin"/>
      </w:r>
      <w:r>
        <w:rPr>
          <w:rFonts w:hint="default" w:ascii="PT Astra Serif" w:hAnsi="PT Astra Serif" w:cs="PT Astra Serif"/>
          <w:sz w:val="28"/>
        </w:rPr>
        <w:instrText xml:space="preserve"> PAGEREF _Toc184375259 \h </w:instrText>
      </w:r>
      <w:r>
        <w:rPr>
          <w:rFonts w:hint="default" w:ascii="PT Astra Serif" w:hAnsi="PT Astra Serif" w:cs="PT Astra Serif"/>
          <w:sz w:val="28"/>
        </w:rPr>
        <w:fldChar w:fldCharType="separate"/>
      </w:r>
      <w:r>
        <w:rPr>
          <w:rFonts w:hint="default" w:ascii="PT Astra Serif" w:hAnsi="PT Astra Serif" w:cs="PT Astra Serif"/>
          <w:sz w:val="28"/>
        </w:rPr>
        <w:t>15</w:t>
      </w:r>
      <w:r>
        <w:rPr>
          <w:rFonts w:hint="default" w:ascii="PT Astra Serif" w:hAnsi="PT Astra Serif" w:cs="PT Astra Serif"/>
          <w:sz w:val="28"/>
        </w:rPr>
        <w:fldChar w:fldCharType="end"/>
      </w:r>
      <w:r>
        <w:rPr>
          <w:rFonts w:hint="default" w:ascii="PT Astra Serif" w:hAnsi="PT Astra Serif" w:cs="PT Astra Serif"/>
          <w:sz w:val="28"/>
        </w:rPr>
        <w:fldChar w:fldCharType="end"/>
      </w:r>
    </w:p>
    <w:p>
      <w:pPr>
        <w:pStyle w:val="28"/>
        <w:spacing w:line="360" w:lineRule="auto"/>
        <w:contextualSpacing/>
        <w:rPr>
          <w:rFonts w:hint="default" w:ascii="PT Astra Serif" w:hAnsi="PT Astra Serif" w:cs="PT Astra Serif" w:eastAsiaTheme="minorEastAsia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"_Toc184375260"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  <w:szCs w:val="28"/>
        </w:rPr>
        <w:t>2.1. Личный инструмент конкурсанта</w:t>
      </w:r>
      <w:r>
        <w:rPr>
          <w:rFonts w:hint="default" w:ascii="PT Astra Serif" w:hAnsi="PT Astra Serif" w:cs="PT Astra Serif"/>
          <w:sz w:val="28"/>
          <w:szCs w:val="28"/>
        </w:rPr>
        <w:tab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PAGEREF _Toc184375260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cs="PT Astra Serif"/>
          <w:sz w:val="28"/>
          <w:szCs w:val="28"/>
        </w:rPr>
        <w:t>15</w:t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</w:p>
    <w:p>
      <w:pPr>
        <w:pStyle w:val="28"/>
        <w:spacing w:line="360" w:lineRule="auto"/>
        <w:contextualSpacing/>
        <w:rPr>
          <w:rFonts w:hint="default" w:ascii="PT Astra Serif" w:hAnsi="PT Astra Serif" w:cs="PT Astra Serif" w:eastAsiaTheme="minorEastAsia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"_Toc184375261"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  <w:szCs w:val="28"/>
        </w:rPr>
        <w:t>2.2.</w:t>
      </w:r>
      <w:r>
        <w:rPr>
          <w:rStyle w:val="16"/>
          <w:rFonts w:hint="default" w:ascii="PT Astra Serif" w:hAnsi="PT Astra Serif" w:cs="PT Astra Serif"/>
          <w:i/>
          <w:sz w:val="28"/>
          <w:szCs w:val="28"/>
        </w:rPr>
        <w:t xml:space="preserve"> </w:t>
      </w:r>
      <w:r>
        <w:rPr>
          <w:rStyle w:val="16"/>
          <w:rFonts w:hint="default" w:ascii="PT Astra Serif" w:hAnsi="PT Astra Serif" w:cs="PT Astra Serif"/>
          <w:sz w:val="28"/>
          <w:szCs w:val="28"/>
        </w:rPr>
        <w:t>Материалы, оборудование и инструменты, запрещенные на площадке</w:t>
      </w:r>
      <w:r>
        <w:rPr>
          <w:rFonts w:hint="default" w:ascii="PT Astra Serif" w:hAnsi="PT Astra Serif" w:cs="PT Astra Serif"/>
          <w:sz w:val="28"/>
          <w:szCs w:val="28"/>
        </w:rPr>
        <w:tab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PAGEREF _Toc184375261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cs="PT Astra Serif"/>
          <w:sz w:val="28"/>
          <w:szCs w:val="28"/>
        </w:rPr>
        <w:t>16</w:t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end"/>
      </w:r>
    </w:p>
    <w:p>
      <w:pPr>
        <w:pStyle w:val="26"/>
        <w:contextualSpacing/>
        <w:rPr>
          <w:rFonts w:hint="default" w:ascii="PT Astra Serif" w:hAnsi="PT Astra Serif" w:cs="PT Astra Serif" w:eastAsiaTheme="minorEastAsia"/>
          <w:bCs w:val="0"/>
          <w:sz w:val="28"/>
          <w:lang w:val="ru-RU" w:eastAsia="ru-RU"/>
        </w:rPr>
      </w:pP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\l "_Toc184375262"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Style w:val="16"/>
          <w:rFonts w:hint="default" w:ascii="PT Astra Serif" w:hAnsi="PT Astra Serif" w:cs="PT Astra Serif"/>
          <w:sz w:val="28"/>
        </w:rPr>
        <w:t>3. Приложения</w:t>
      </w:r>
      <w:r>
        <w:rPr>
          <w:rFonts w:hint="default" w:ascii="PT Astra Serif" w:hAnsi="PT Astra Serif" w:cs="PT Astra Serif"/>
          <w:sz w:val="28"/>
        </w:rPr>
        <w:tab/>
      </w:r>
      <w:r>
        <w:rPr>
          <w:rFonts w:hint="default" w:ascii="PT Astra Serif" w:hAnsi="PT Astra Serif" w:cs="PT Astra Serif"/>
          <w:sz w:val="28"/>
        </w:rPr>
        <w:fldChar w:fldCharType="begin"/>
      </w:r>
      <w:r>
        <w:rPr>
          <w:rFonts w:hint="default" w:ascii="PT Astra Serif" w:hAnsi="PT Astra Serif" w:cs="PT Astra Serif"/>
          <w:sz w:val="28"/>
        </w:rPr>
        <w:instrText xml:space="preserve"> PAGEREF _Toc184375262 \h </w:instrText>
      </w:r>
      <w:r>
        <w:rPr>
          <w:rFonts w:hint="default" w:ascii="PT Astra Serif" w:hAnsi="PT Astra Serif" w:cs="PT Astra Serif"/>
          <w:sz w:val="28"/>
        </w:rPr>
        <w:fldChar w:fldCharType="separate"/>
      </w:r>
      <w:r>
        <w:rPr>
          <w:rFonts w:hint="default" w:ascii="PT Astra Serif" w:hAnsi="PT Astra Serif" w:cs="PT Astra Serif"/>
          <w:sz w:val="28"/>
        </w:rPr>
        <w:t>16</w:t>
      </w:r>
      <w:r>
        <w:rPr>
          <w:rFonts w:hint="default" w:ascii="PT Astra Serif" w:hAnsi="PT Astra Serif" w:cs="PT Astra Serif"/>
          <w:sz w:val="28"/>
        </w:rPr>
        <w:fldChar w:fldCharType="end"/>
      </w:r>
      <w:r>
        <w:rPr>
          <w:rFonts w:hint="default" w:ascii="PT Astra Serif" w:hAnsi="PT Astra Serif" w:cs="PT Astra Serif"/>
          <w:sz w:val="28"/>
        </w:rPr>
        <w:fldChar w:fldCharType="end"/>
      </w:r>
    </w:p>
    <w:p>
      <w:pPr>
        <w:pStyle w:val="48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hint="default" w:ascii="PT Astra Serif" w:hAnsi="PT Astra Serif" w:cs="PT Astra Serif"/>
          <w:bCs/>
          <w:sz w:val="28"/>
          <w:szCs w:val="28"/>
          <w:lang w:val="ru-RU" w:eastAsia="ru-RU"/>
        </w:rPr>
      </w:pPr>
      <w:r>
        <w:rPr>
          <w:rFonts w:hint="default" w:ascii="PT Astra Serif" w:hAnsi="PT Astra Serif" w:cs="PT Astra Serif"/>
          <w:bCs/>
          <w:sz w:val="28"/>
          <w:szCs w:val="28"/>
          <w:lang w:val="ru-RU" w:eastAsia="ru-RU"/>
        </w:rPr>
        <w:fldChar w:fldCharType="end"/>
      </w:r>
    </w:p>
    <w:p>
      <w:pPr>
        <w:pStyle w:val="48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hint="default" w:ascii="PT Astra Serif" w:hAnsi="PT Astra Serif" w:cs="PT Astra Serif"/>
          <w:bCs/>
          <w:sz w:val="28"/>
          <w:szCs w:val="28"/>
          <w:lang w:val="ru-RU" w:eastAsia="ru-RU"/>
        </w:rPr>
      </w:pPr>
    </w:p>
    <w:p>
      <w:pPr>
        <w:pStyle w:val="48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hint="default" w:ascii="PT Astra Serif" w:hAnsi="PT Astra Serif" w:cs="PT Astra Serif"/>
          <w:bCs/>
          <w:sz w:val="28"/>
          <w:szCs w:val="28"/>
          <w:lang w:val="ru-RU" w:eastAsia="ru-RU"/>
        </w:rPr>
      </w:pPr>
    </w:p>
    <w:p>
      <w:pPr>
        <w:pStyle w:val="48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contextualSpacing/>
        <w:jc w:val="both"/>
        <w:rPr>
          <w:rFonts w:hint="default" w:ascii="PT Astra Serif" w:hAnsi="PT Astra Serif" w:cs="PT Astra Serif"/>
          <w:bCs/>
          <w:sz w:val="24"/>
          <w:szCs w:val="20"/>
          <w:lang w:val="ru-RU" w:eastAsia="ru-RU"/>
        </w:rPr>
        <w:sectPr>
          <w:pgSz w:w="11906" w:h="16838"/>
          <w:pgMar w:top="1134" w:right="851" w:bottom="1134" w:left="1701" w:header="624" w:footer="170" w:gutter="0"/>
          <w:pgNumType w:start="1"/>
          <w:cols w:space="708" w:num="1"/>
          <w:titlePg/>
          <w:docGrid w:linePitch="360" w:charSpace="0"/>
        </w:sectPr>
      </w:pPr>
    </w:p>
    <w:p>
      <w:pPr>
        <w:pStyle w:val="48"/>
        <w:numPr>
          <w:ilvl w:val="0"/>
          <w:numId w:val="0"/>
        </w:numPr>
        <w:contextualSpacing/>
        <w:jc w:val="center"/>
        <w:rPr>
          <w:rFonts w:hint="default" w:ascii="PT Astra Serif" w:hAnsi="PT Astra Serif" w:cs="PT Astra Serif"/>
          <w:b/>
          <w:bCs/>
          <w:sz w:val="28"/>
          <w:szCs w:val="28"/>
          <w:lang w:val="ru-RU" w:eastAsia="ru-RU"/>
        </w:rPr>
      </w:pPr>
      <w:r>
        <w:rPr>
          <w:rFonts w:hint="default" w:ascii="PT Astra Serif" w:hAnsi="PT Astra Serif" w:cs="PT Astra Serif"/>
          <w:b/>
          <w:bCs/>
          <w:sz w:val="28"/>
          <w:szCs w:val="28"/>
          <w:lang w:val="ru-RU" w:eastAsia="ru-RU"/>
        </w:rPr>
        <w:t>ИСПОЛЬЗУЕМЫЕ СОКРАЩЕНИЯ</w:t>
      </w:r>
    </w:p>
    <w:p>
      <w:pPr>
        <w:pStyle w:val="48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>
      <w:pPr>
        <w:pStyle w:val="48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ПС – Профессиональный стандарт</w:t>
      </w:r>
    </w:p>
    <w:p>
      <w:pPr>
        <w:pStyle w:val="48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КЗ – Конкурсное задание</w:t>
      </w:r>
    </w:p>
    <w:p>
      <w:pPr>
        <w:pStyle w:val="48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ИЛ – Инфраструктурный лист</w:t>
      </w:r>
    </w:p>
    <w:p>
      <w:pPr>
        <w:pStyle w:val="48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ППУ – программно-проектное управление</w:t>
      </w:r>
    </w:p>
    <w:p>
      <w:pPr>
        <w:pStyle w:val="48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 xml:space="preserve">УЖЦ – управление жизненным циклом изделия/управление программой </w:t>
      </w:r>
    </w:p>
    <w:p>
      <w:pPr>
        <w:pStyle w:val="48"/>
        <w:numPr>
          <w:ilvl w:val="0"/>
          <w:numId w:val="5"/>
        </w:numPr>
        <w:ind w:firstLine="709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bookmarkStart w:id="1" w:name="_Toc450204622"/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br w:type="page"/>
      </w:r>
      <w:bookmarkEnd w:id="1"/>
    </w:p>
    <w:p>
      <w:pPr>
        <w:pStyle w:val="63"/>
        <w:spacing w:before="0" w:after="0"/>
        <w:contextualSpacing/>
        <w:jc w:val="center"/>
        <w:rPr>
          <w:rFonts w:hint="default" w:ascii="PT Astra Serif" w:hAnsi="PT Astra Serif" w:cs="PT Astra Serif"/>
          <w:color w:val="auto"/>
          <w:sz w:val="28"/>
          <w:szCs w:val="28"/>
        </w:rPr>
      </w:pPr>
      <w:bookmarkStart w:id="2" w:name="_Toc184375251"/>
      <w:r>
        <w:rPr>
          <w:rFonts w:hint="default" w:ascii="PT Astra Serif" w:hAnsi="PT Astra Serif" w:cs="PT Astra Serif"/>
          <w:color w:val="auto"/>
          <w:sz w:val="28"/>
          <w:szCs w:val="28"/>
        </w:rPr>
        <w:t>1. ОСНОВНЫЕ ТРЕБОВАНИЯ КОМПЕТЕНЦИИ</w:t>
      </w:r>
      <w:bookmarkEnd w:id="2"/>
    </w:p>
    <w:p>
      <w:pPr>
        <w:pStyle w:val="64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Cs w:val="28"/>
        </w:rPr>
      </w:pPr>
      <w:bookmarkStart w:id="3" w:name="_Toc184375252"/>
      <w:r>
        <w:rPr>
          <w:rFonts w:hint="default" w:ascii="PT Astra Serif" w:hAnsi="PT Astra Serif" w:cs="PT Astra Serif"/>
          <w:szCs w:val="28"/>
        </w:rPr>
        <w:t>1.1. ОБЩИЕ СВЕДЕНИЯ О ТРЕБОВАНИЯХ КОМПЕТЕНЦИИ</w:t>
      </w:r>
      <w:bookmarkEnd w:id="3"/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 xml:space="preserve">Требования компетенции (ТК) </w:t>
      </w:r>
      <w:bookmarkStart w:id="4" w:name="_Hlk123050441"/>
      <w:r>
        <w:rPr>
          <w:rFonts w:hint="default" w:ascii="PT Astra Serif" w:hAnsi="PT Astra Serif" w:cs="PT Astra Serif"/>
          <w:sz w:val="28"/>
          <w:szCs w:val="28"/>
        </w:rPr>
        <w:t>«Программно-проектное управление» определяют знания, умения, навыки и трудовые функции</w:t>
      </w:r>
      <w:bookmarkEnd w:id="4"/>
      <w:r>
        <w:rPr>
          <w:rFonts w:hint="default" w:ascii="PT Astra Serif" w:hAnsi="PT Astra Serif" w:cs="PT Astra Serif"/>
          <w:sz w:val="28"/>
          <w:szCs w:val="28"/>
        </w:rPr>
        <w:t>, которые лежат в основе наиболее актуальных требований работодателей отрасли.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В соревнованиях по компетенции проверка знаний, умений, навыков и трудовых функций осуществляется посредством оценки выполнения практической работы.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>
      <w:pPr>
        <w:spacing w:after="0" w:line="360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pStyle w:val="64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Cs w:val="28"/>
        </w:rPr>
      </w:pPr>
      <w:bookmarkStart w:id="5" w:name="_Toc78885652"/>
      <w:bookmarkStart w:id="6" w:name="_Toc184375253"/>
      <w:r>
        <w:rPr>
          <w:rFonts w:hint="default" w:ascii="PT Astra Serif" w:hAnsi="PT Astra Serif" w:cs="PT Astra Serif"/>
          <w:szCs w:val="28"/>
        </w:rPr>
        <w:t>1.</w:t>
      </w:r>
      <w:bookmarkEnd w:id="5"/>
      <w:r>
        <w:rPr>
          <w:rFonts w:hint="default" w:ascii="PT Astra Serif" w:hAnsi="PT Astra Serif" w:cs="PT Astra Serif"/>
          <w:szCs w:val="28"/>
        </w:rPr>
        <w:t xml:space="preserve">2. ПЕРЕЧЕНЬ ПРОФЕССИОНАЛЬНЫХ ЗАДАЧ СПЕЦИАЛИСТА ПО КОМПЕТЕНЦИИ </w:t>
      </w:r>
      <w:bookmarkEnd w:id="6"/>
      <w:r>
        <w:rPr>
          <w:rFonts w:hint="default" w:ascii="PT Astra Serif" w:hAnsi="PT Astra Serif" w:cs="PT Astra Serif" w:eastAsiaTheme="minorHAnsi"/>
          <w:szCs w:val="28"/>
        </w:rPr>
        <w:t>«Программно-проектное управление»</w:t>
      </w:r>
    </w:p>
    <w:p>
      <w:pPr>
        <w:spacing w:after="0" w:line="360" w:lineRule="auto"/>
        <w:contextualSpacing/>
        <w:jc w:val="right"/>
        <w:rPr>
          <w:rFonts w:hint="default" w:ascii="PT Astra Serif" w:hAnsi="PT Astra Serif" w:cs="PT Astra Serif"/>
          <w:i/>
          <w:iCs/>
          <w:sz w:val="28"/>
          <w:szCs w:val="28"/>
        </w:rPr>
      </w:pPr>
      <w:r>
        <w:rPr>
          <w:rFonts w:hint="default" w:ascii="PT Astra Serif" w:hAnsi="PT Astra Serif" w:cs="PT Astra Serif"/>
          <w:i/>
          <w:iCs/>
          <w:sz w:val="28"/>
          <w:szCs w:val="28"/>
        </w:rPr>
        <w:t>Таблица №1</w:t>
      </w:r>
    </w:p>
    <w:p>
      <w:pPr>
        <w:spacing w:after="0" w:line="360" w:lineRule="auto"/>
        <w:contextualSpacing/>
        <w:jc w:val="center"/>
        <w:rPr>
          <w:rFonts w:hint="default" w:ascii="PT Astra Serif" w:hAnsi="PT Astra Serif" w:cs="PT Astra Serif"/>
          <w:b/>
          <w:bCs/>
          <w:color w:val="000000"/>
          <w:sz w:val="28"/>
          <w:szCs w:val="28"/>
        </w:rPr>
      </w:pPr>
      <w:r>
        <w:rPr>
          <w:rFonts w:hint="default" w:ascii="PT Astra Serif" w:hAnsi="PT Astra Serif" w:cs="PT Astra Serif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Style w:val="3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6379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shd w:val="clear" w:color="auto" w:fill="92D050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>№</w:t>
            </w:r>
          </w:p>
        </w:tc>
        <w:tc>
          <w:tcPr>
            <w:tcW w:w="6379" w:type="dxa"/>
            <w:shd w:val="clear" w:color="auto" w:fill="92D050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>Раздел</w:t>
            </w:r>
          </w:p>
        </w:tc>
        <w:tc>
          <w:tcPr>
            <w:tcW w:w="1836" w:type="dxa"/>
            <w:shd w:val="clear" w:color="auto" w:fill="92D050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>Важность в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  <w:t>Системное мышление, анализ и работа с информацией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принципы работы с информацией методики анализа и синтеза, интерпретации данных согласно поставленным задачам;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методики и особенности инструментов поиска решений задач различного уровня сложностей;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важность критического подхода в анализе найденных решений;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принципы работы и основные инструменты, применяемые в офисных программах для работы с документами, текстовыми материалами;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принципы работы и основные инструменты, применяемые в офисных программах для работы с числовыми данными, таблицами, диаграммами, вычислениями разного рода;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принципы работы и основные инструменты, применяемые в офисных программах для создания презентационных материалов (включая анимацию);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принципы работы поисковых систем и информационных ресурсов для анализа рынка и других данных для комплексной разработки проектной документации.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обрабатывать и анализировать результаты теоретических и экспериментальных исследований, использовать их при проектировании изделия и его составных блоков, систем;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осуществлять процедуры сбора, анализа, оценки и интерпретации информации по результатам исследований;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применять инструменты анализа и решения задач различной сложности, в т.ч. инструменты системного мышления, ТРИЗ и т.д. (включая индивидуальные и командные инструменты), предлагать несколько разных решений по проблеме, альтернативных планов и подходов;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работать с информацией (поиск, анализ, структурирование, переработка, систематизация, интерпретация);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использовать основные источники и методы сбора, хранения и обработки информации по различным направлениям в рамках разработки проекта (в том числе визуализация информации с использованием схем и графиков);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формировать отчеты и другие документы по итогам исследований;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формировать основную проектную документацию;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применять офисные программы для формирования материалов различных типов – текстовые, графические, числовые, для проведения вычислений, создания презентаций и т.д.;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применять современные цифровые инструменты, поисковые системы, информационные ресурсы, программное обеспечение и другие IT-решения в ППУ для анализа рынка, обоснования данных, их корреляции с существующими запросами и других аспектов при комплексной разработке проектной документации.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  <w:t>Организация рабочего пространства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принципы эффективной организации рабочего места и рабочих процессов (с применением кайдзен подходов, визуализации, инструментов устранения потерь и непрерывных улучшений и т.д.);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принципы построения/организации эффективной работы в стрессовых ситуациях/условиях высокой неопределенности;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планировать работу;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организовывать собственное рабочее место, способствующего достижению командного и личного результата;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заботиться о личной и коллективной безопасности на рабочем месте;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предпринимать соответствующие профилактические меры для минимизации возможных стрессовых ситуаций и их последствий;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эффективно организовывать собственную работу (применять принципы и подход кайдзен, инструменты бережливого производства и оптимизации деятельности)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Обеспечение техники безопасности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основные законодательные нормы в области охраны труда и техники безопасности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организовать работу, опираясь на принципы безопасности для себя и окружающих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реагировать соответственно инструкции в случаях возникновения опасных для жизни и здоровья ситуаций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Управление личной эффективностью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эффективного определения и достижения целей, как лично, так и в команде;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основные принципы планирования и эффективной организации работы и решения задач в рамках проектной деятельности (как индивидуальные, так и в команде);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контроля выполнения задач, достижения целей и анализа результатов деятельности;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эффективной организации работы для достижения поставленных целей;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необходимость и инструменты командной работы и системного комплексного подхода при выполнении поставленных задач;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важность соблюдения этических принципов при решении поставленных задач (честность и добросовестность в подходах);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механизмы командной и личной мотивации;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построения/организации эффективной работы в стрессовых ситуациях/условиях высокой неопределенности;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важность непрерывного личного развития и наращивания компетенций.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bookmarkStart w:id="7" w:name="_heading=h.30j0zll" w:colFirst="0" w:colLast="0"/>
            <w:bookmarkEnd w:id="7"/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определять цели деятельности/проекта, формировать и выполнять задачи по достижению поставленных целей;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планировать работу свою и потенциальной команды, применять инструменты управления ресурсами при выполнении задач (в том числе, тайм-менеджмент);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работать в условиях ограниченных ресурсов;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работать в условиях изменяющихся условий, в том числе в стрессовых;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активно действовать в направлении непрерывного профессионального совершенствования;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находить и применять инструменты и способы мотивации в работе;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управлять командной работой для достижения поставленных целей (для руководителя проектной команды).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Управление проектами и программами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терминологию, принципы, основные методологии программно-проектного управления (ППУ);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методы, инструменты, техники, применяемые в ППУ;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стандарты ППУ;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построения и управления жизненным циклом проекта, основные этапы (фазы) реализации проекта и их особенности;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механизмы целеполагания в проекте;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лучшие практики управления проектами;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управления ресурсами в проекте;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«треугольник проекта» (основные проектные ограничения) и логику построения взаимозависимости ограничений;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и инструменты управления сроками в проекте;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методики риск-менеджмента в проектах;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планирования в ППУ (особенности формирования бизнес-планов, дорожных карт, календарно-сетевых графиков и т.д.);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ключевые подходы в оценке проектов;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управления коммуникациями в проекте.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определять цели и задачи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определять критерии успешности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планировать ресурсное обеспечение в проекте;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составлять и управлять дорожными картами в проекте (в том числе, с применением принципов календарно-сетевого планирования);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управлять и гибко работать с проектными ограничениями («треугольник проекта»);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формировать организационную структуру и матрицу ответственности в проекте;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составлять верхнеуровневую карту рисков, оценивать степень влияния возможных рисков с помощью различных методик, разрабатывать антирисковые мероприятия и определять стратегии реагирования на риски;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формировать комплексные, системные проектные решения, концепции, подходы, «увязывать» отдельные проектные блоки между собой;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управлять изменениями в проектах и программах, гибко реагировать на изменение вводных параметров (внешних и внутренних условий).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Маркетинговое планирование, анализ и моделирование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терминологию в области маркетинга;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значение маркетинга при определении стратегии работ в проекте;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сущность модели маркетинг-микса (4p, 5p, 7p и др.) и ее основных параметров;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верхнеуровневые принципы управления маркетинговой деятельностью (стратегический, тактический и операционный маркетинг);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интеграции маркетинга с другими функциями и блоками ППУ;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основные принципы и подходы продвижения продукции на рынке;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источники, принципы и подходы поиска маркетинговой информации.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проводить верхнеуровневые маркетинговые исследования, а также анализировать информацию для различных целей и задач;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осуществлять процедуры сбора, анализа, оценки и интерпретации информации по результатам маркетинговых исследования;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выявлять потенциальные возможности и угрозы внешней среды для анализа проекта/продукции, анализировать слабые и сильные стороны проекта/продукции (проведение swot-анализ);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определять, сопоставлять, анализировать основные параметры предлагаемого продукта (цена, качество, внешний вид, эргономичность) с товарами-заменителями, аналогами;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формировать маркетинговые верхнеуровневые стратегии и подбирать инструменты по продвижению проекта/продукта на рынке.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Управление персоналом в проектах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знать и понимать</w:t>
            </w: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построения рациональной организационной структуры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методы, инструменты определения потребности в компетенциях и персонале для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источники обеспечения организации/проекта кадрами;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современные формы, системы оплаты труда персонала;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основные источники получения данных по кадрам (тарифно-квалификационные справочники работ, профессий рабочих и квалификационные характеристики должностей, служащих и т.д.);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технологии и методы определения компетенций персонала;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общие тенденции на рынке труда и в отдельной отрасли, конкретной профессии (должности, специальности);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трудовое законодательство и иные акты, содержащие нормы трудового права;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основы экономики, организации труда и управления персоналом.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формировать, описывать и аргументированно объяснять принципы выбора организационной структуры проекта с учетом особенностей отрасли, бизнеса и задач;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определять потребность в компетенциях и персонале при разработке и реализации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собирать, анализировать и структурировать информацию об особенностях рынка труда, включая предложения от провайдеров услуг по поиску, привлечению и подбору персонала;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формировать требования к должности (профессии, специальности) и определять критерии подбора персонала;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пользоваться поисковыми системами и информационными ресурсами для мониторинга рынка труда, трудового законодательства Российской Федерации;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проводить анализ успешных корпоративных практик по организации системы управления персоналом;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анализировать и формировать современные системы оплаты и мотивации труда для целей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анализировать уровень оплаты труда персонала по соответствующим профессиональным квалификациям;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разрабатывать проектные предложения и мероприятия по эффективной работе персонала;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формировать программы обучения и развития сотрудников для /проекта.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Управление экономикой в проекте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терминологию, основные понятия и принципы построения юнит-экономики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базовую методику инвестиционного и финансового анализа, в т.ч., понятия: чистый дисконтированный доход (NPV), внутренняя норма доходности (IRR), срок окупаемости (PBP) и др., принципы подготовки экономического обоснования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методы и инструменты финансового анализа и формирования финансовых моделей;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инструменты анализа данных о планируемых расходах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методики финансового анализа затрат и выгод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методики расчета себестоимости продукта и ее составляющих;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методики расчета окупаемости и инвестиционных показателей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методики анализа и составления финансовых планов и графиков работ по проекту;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методики формирования бюджета проекта на основании структуры декомпозиции работ проекта, плана закупок и плана привлечения ресурсов по проекту.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проводить анализ информации о планируемых расходах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осуществлять финансовый анализ затрат и выгод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осуществлять расчет юнит-экономики, финансово-экономическую модель проекта;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формировать и анализировать финансовые планы и планы-графики работ по проекту;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составлять бюджет проекта на основании структуры декомпозиции работ проекта, плана закупок и плана привлечения ресурсов по проекту;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составлять экономические прогнозы;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рассчитывать период окупаемости и точку безубыточности.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  <w:t>Построение эффективных коммуникаций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принципы эффективного письменного и устного представления информации для достижения различных целей с учетом специфики целевых аудиторий;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правила и особенности осуществления эффективной коммуникации (передача информации с помощью различных каналов коммуникации, обратная связь, структурирование речи, использование вербальных и невербальных средств, удержание внимания аудитории и т.д.);</w:t>
            </w:r>
          </w:p>
          <w:p>
            <w:pPr>
              <w:spacing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>- принципы визуализации и подготовки презентации для обеспечения эффективного восприятия информации.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эффективно доносить ключевую информацию до различных целевых аудиторий, используя различные канал передачи информации (вербальный, невербальный, паравербальный), инструменты вовлечения аудитории (визуализация, обратная связь, зрительный контакт, жестикуляция и т.д.);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«продавать» идею как возможность, учитывая потребности собеседника или аудитории;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строить взаимодействие с учетом индивидуальных особенностей других участников коммуникации;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эффективно взаимодействовать с внешними стейкхолдерами и целевыми аудиториями (другие команды, организаторы, эксперты и т.д.);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понимать и верно использовать общепринятую терминологию (в том числе, символы, схемы и языки, используемые в международных стандартах);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вести диалог, аргументировать собственную точку зрения, обосновывать тезисы доклада, отвечать на вопросы аудитории;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применять принципы «упаковки» информации в различных форматах для различных целевых аудиторий, формировать эффективные презентации на основе ключевых принципов и особенностей восприятия информации различного типа;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гибко реагировать при изменении внешней среды, «подстраиваться» под потребности аудитории в коммуникации.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Работа с документацией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работы с информацией методики анализа и синтеза, интерпретации данных согласно поставленным задачам;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подготовки документации различных типов;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правила русского языка – орфографии, пунктуации и т.д.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построения структуры документов различных типов.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использовать основные источники и методы сбора, хранения и обработки информации по различным направлениям в рамках разработки проекта (в том числе визуализация информации с использованием схем и графиков);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формировать отчеты и другие документы по итогам исследований;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формировать основную проектную документацию;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грамотно применять правила русского языка.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Работа с ПО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ind w:left="37" w:hanging="37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37" w:hanging="37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работы и основные инструменты, применяемые в офисных программах для работы с документами, текстовыми материалами;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37" w:hanging="37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работы и основные инструменты, применяемые в офисных программах для работы с числовыми данными, таблицами, диаграммами, вычислениями разного рода;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37" w:hanging="37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работы и основные инструменты, применяемые в офисных программах для создания презентационных материалов (включая анимацию);</w:t>
            </w:r>
          </w:p>
          <w:p>
            <w:pPr>
              <w:spacing w:after="0" w:line="276" w:lineRule="auto"/>
              <w:ind w:left="37" w:hanging="37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принципы работы поисковых систем и информационных ресурсов для анализа рынка и других данных для комплексной разработки проектной документации.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обрабатывать и анализировать результаты теоретических и экспериментальных исследований, использовать их при проектировании изделия и его составных блоков, систем;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осуществлять процедуры сбора, анализа, оценки и интерпретации информации по результатам исследований;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применять офисные программы для формирования материалов различных типов – текстовые, графические, числовые, для проведения вычислений, создания презентаций и т.д.;</w:t>
            </w:r>
          </w:p>
          <w:p>
            <w:pPr>
              <w:spacing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  <w:t>- применять современные цифровые инструменты, поисковые системы, информационные ресурсы, программное обеспечение и другие IT-решения в ППУ для анализа рынка, обоснования данных, их корреляции с существующими запросами и других аспектов при комплексной разработке проектной документации.</w:t>
            </w:r>
          </w:p>
        </w:tc>
        <w:tc>
          <w:tcPr>
            <w:tcW w:w="1836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360" w:lineRule="auto"/>
        <w:contextualSpacing/>
        <w:rPr>
          <w:rFonts w:hint="default" w:ascii="PT Astra Serif" w:hAnsi="PT Astra Serif" w:cs="PT Astra Serif"/>
          <w:color w:val="000000"/>
          <w:sz w:val="28"/>
          <w:szCs w:val="28"/>
        </w:rPr>
      </w:pPr>
    </w:p>
    <w:p>
      <w:pPr>
        <w:pStyle w:val="64"/>
        <w:spacing w:before="0" w:after="0"/>
        <w:contextualSpacing/>
        <w:rPr>
          <w:rFonts w:hint="default" w:ascii="PT Astra Serif" w:hAnsi="PT Astra Serif" w:cs="PT Astra Serif"/>
          <w:b w:val="0"/>
          <w:bCs/>
          <w:szCs w:val="28"/>
        </w:rPr>
      </w:pPr>
      <w:bookmarkStart w:id="8" w:name="_Toc78885655"/>
      <w:r>
        <w:rPr>
          <w:rFonts w:hint="default" w:ascii="PT Astra Serif" w:hAnsi="PT Astra Serif" w:cs="PT Astra Serif"/>
          <w:b w:val="0"/>
          <w:bCs/>
          <w:szCs w:val="28"/>
        </w:rPr>
        <w:br w:type="page"/>
      </w:r>
    </w:p>
    <w:p>
      <w:pPr>
        <w:pStyle w:val="64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Cs w:val="28"/>
        </w:rPr>
      </w:pPr>
      <w:bookmarkStart w:id="9" w:name="_Toc184375254"/>
      <w:r>
        <w:rPr>
          <w:rFonts w:hint="default" w:ascii="PT Astra Serif" w:hAnsi="PT Astra Serif" w:cs="PT Astra Serif"/>
          <w:szCs w:val="28"/>
        </w:rPr>
        <w:t>1.3. ТРЕБОВАНИЯ К СХЕМЕ ОЦЕНКИ</w:t>
      </w:r>
      <w:bookmarkEnd w:id="8"/>
      <w:bookmarkEnd w:id="9"/>
    </w:p>
    <w:p>
      <w:pPr>
        <w:pStyle w:val="25"/>
        <w:widowControl/>
        <w:ind w:firstLine="709"/>
        <w:contextualSpacing/>
        <w:rPr>
          <w:rFonts w:hint="default" w:ascii="PT Astra Serif" w:hAnsi="PT Astra Serif" w:cs="PT Astra Serif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>
      <w:pPr>
        <w:pStyle w:val="25"/>
        <w:widowControl/>
        <w:ind w:firstLine="709"/>
        <w:contextualSpacing/>
        <w:jc w:val="right"/>
        <w:rPr>
          <w:rFonts w:hint="default" w:ascii="PT Astra Serif" w:hAnsi="PT Astra Serif" w:cs="PT Astra Serif"/>
          <w:bCs/>
          <w:i/>
          <w:iCs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bCs/>
          <w:i/>
          <w:iCs/>
          <w:sz w:val="28"/>
          <w:szCs w:val="28"/>
          <w:lang w:val="ru-RU"/>
        </w:rPr>
        <w:t>Таблица №2</w:t>
      </w:r>
    </w:p>
    <w:p>
      <w:pPr>
        <w:pStyle w:val="25"/>
        <w:widowControl/>
        <w:contextualSpacing/>
        <w:jc w:val="center"/>
        <w:rPr>
          <w:rFonts w:hint="default" w:ascii="PT Astra Serif" w:hAnsi="PT Astra Serif" w:cs="PT Astra Serif"/>
          <w:b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12"/>
        <w:tblW w:w="85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920"/>
        <w:gridCol w:w="920"/>
        <w:gridCol w:w="920"/>
        <w:gridCol w:w="920"/>
        <w:gridCol w:w="920"/>
        <w:gridCol w:w="1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6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000000" w:fill="92D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  <w:t>Итого баллов за раздел ТРЕБОВАНИЙ КОМПЕТЕНЦИИ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  <w:t>Разделы ТРЕБОВАНИЙ КОМПЕТЕНЦИИ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8,5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1,5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3,5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PT Astra Serif" w:hAnsi="PT Astra Serif" w:eastAsia="Times New Roman" w:cs="PT Astra Serif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/>
                <w:lang w:eastAsia="ru-RU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lang w:eastAsia="ru-RU"/>
              </w:rPr>
              <w:t>Итого баллов за критерий/модуль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113" w:right="113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lang w:eastAsia="ru-RU"/>
              </w:rPr>
              <w:t>29,5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113" w:right="113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lang w:eastAsia="ru-RU"/>
              </w:rPr>
              <w:t>48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113" w:right="113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lang w:eastAsia="ru-RU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113" w:right="113"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lang w:eastAsia="ru-RU"/>
              </w:rPr>
              <w:t>10,5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PT Astra Serif" w:hAnsi="PT Astra Serif" w:eastAsia="Times New Roman" w:cs="PT Astra Serif"/>
                <w:b/>
                <w:bCs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lang w:eastAsia="ru-RU"/>
              </w:rPr>
              <w:t>100</w:t>
            </w:r>
          </w:p>
        </w:tc>
      </w:tr>
    </w:tbl>
    <w:p>
      <w:pPr>
        <w:pStyle w:val="25"/>
        <w:widowControl/>
        <w:contextualSpacing/>
        <w:rPr>
          <w:rFonts w:hint="default" w:ascii="PT Astra Serif" w:hAnsi="PT Astra Serif" w:cs="PT Astra Serif"/>
          <w:bCs/>
          <w:sz w:val="28"/>
          <w:szCs w:val="28"/>
          <w:lang w:val="ru-RU"/>
        </w:rPr>
      </w:pPr>
    </w:p>
    <w:p>
      <w:pPr>
        <w:pStyle w:val="64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Cs w:val="28"/>
        </w:rPr>
      </w:pPr>
      <w:bookmarkStart w:id="10" w:name="_Toc184375255"/>
      <w:r>
        <w:rPr>
          <w:rFonts w:hint="default" w:ascii="PT Astra Serif" w:hAnsi="PT Astra Serif" w:cs="PT Astra Serif"/>
          <w:szCs w:val="28"/>
        </w:rPr>
        <w:t>1.4. СПЕЦИФИКАЦИЯ ОЦЕНКИ КОМПЕТЕНЦИИ</w:t>
      </w:r>
      <w:bookmarkEnd w:id="10"/>
    </w:p>
    <w:p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hint="default" w:ascii="PT Astra Serif" w:hAnsi="PT Astra Serif" w:cs="PT Astra Serif"/>
          <w:i/>
          <w:iCs/>
          <w:sz w:val="28"/>
          <w:szCs w:val="28"/>
        </w:rPr>
      </w:pPr>
      <w:r>
        <w:rPr>
          <w:rFonts w:hint="default" w:ascii="PT Astra Serif" w:hAnsi="PT Astra Serif" w:cs="PT Astra Serif"/>
          <w:i/>
          <w:iCs/>
          <w:sz w:val="28"/>
          <w:szCs w:val="28"/>
        </w:rPr>
        <w:t>Таблица №3</w:t>
      </w:r>
    </w:p>
    <w:p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hint="default" w:ascii="PT Astra Serif" w:hAnsi="PT Astra Serif" w:cs="PT Astra Serif"/>
          <w:b/>
          <w:bCs/>
          <w:sz w:val="28"/>
          <w:szCs w:val="28"/>
        </w:rPr>
      </w:pPr>
      <w:r>
        <w:rPr>
          <w:rFonts w:hint="default" w:ascii="PT Astra Serif" w:hAnsi="PT Astra Serif" w:cs="PT Astra Serif"/>
          <w:b/>
          <w:bCs/>
          <w:sz w:val="28"/>
          <w:szCs w:val="28"/>
        </w:rPr>
        <w:t>Оценка конкурсного задания</w:t>
      </w:r>
    </w:p>
    <w:tbl>
      <w:tblPr>
        <w:tblStyle w:val="3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003"/>
        <w:gridCol w:w="6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51" w:type="pct"/>
            <w:gridSpan w:val="2"/>
            <w:shd w:val="clear" w:color="auto" w:fill="92D050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149" w:type="pct"/>
            <w:shd w:val="clear" w:color="auto" w:fill="92D050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  <w:lang w:eastAsia="ru-RU"/>
              </w:rPr>
              <w:t>Методика проверки навыков в критерии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282" w:type="pct"/>
            <w:shd w:val="clear" w:color="auto" w:fill="00B050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  <w:lang w:eastAsia="ru-RU"/>
              </w:rPr>
              <w:t>Анализ и работа с информацией</w:t>
            </w:r>
          </w:p>
        </w:tc>
        <w:tc>
          <w:tcPr>
            <w:tcW w:w="314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навыков сбора и анализа данных, формирования выводов и обоснованного, подтвержденного базиса для разработки проекта.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навыков работы и анализа стейкхолдеров и целевой аудитории, ее потребностей и предпосылок для запуска проекта.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  <w:jc w:val="center"/>
        </w:trPr>
        <w:tc>
          <w:tcPr>
            <w:tcW w:w="282" w:type="pct"/>
            <w:shd w:val="clear" w:color="auto" w:fill="00B050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  <w:lang w:eastAsia="ru-RU"/>
              </w:rPr>
              <w:t>Разработка концепции проекта</w:t>
            </w:r>
          </w:p>
        </w:tc>
        <w:tc>
          <w:tcPr>
            <w:tcW w:w="314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обоснованности данных и сформированных выводов, полученных в ходе исследования.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качества проработки документации.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Системность и логичность представленной концепции проекта.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Корректность расчета основных показателей в рамках программно-проектной деятельности.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Корректность проведения исследования рисков и ограничений проекта.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Корректность разработки дорожной карты проекта.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привлекательности и перспективности идеи проекта.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Проводится качественная и количественная оценка перечисленных параметров.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282" w:type="pct"/>
            <w:shd w:val="clear" w:color="auto" w:fill="00B050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  <w:lang w:eastAsia="ru-RU"/>
              </w:rPr>
              <w:t>Подготовка презентации проекта</w:t>
            </w:r>
          </w:p>
        </w:tc>
        <w:tc>
          <w:tcPr>
            <w:tcW w:w="314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качества визуализации идеи в формате презентации.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навыков визуальной коммуникации и «упаковки» материалов различных форматов, типов.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282" w:type="pct"/>
            <w:shd w:val="clear" w:color="auto" w:fill="00B050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sz w:val="24"/>
                <w:szCs w:val="24"/>
                <w:lang w:eastAsia="ru-RU"/>
                <w14:textFill>
                  <w14:solidFill>
                    <w14:schemeClr w14:val="bg1"/>
                  </w14:solidFill>
                </w14:textFill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  <w:lang w:eastAsia="ru-RU"/>
              </w:rPr>
              <w:t>Защита презентации проекта</w:t>
            </w:r>
          </w:p>
        </w:tc>
        <w:tc>
          <w:tcPr>
            <w:tcW w:w="314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навыков представления информации стейкхолдерам в виде презентации (слайды).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навыков предоставления информации в виде устного доклада.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eastAsia="ru-RU"/>
              </w:rPr>
              <w:t>Оценка умения отвечать на поставленные вопросы.</w:t>
            </w:r>
          </w:p>
        </w:tc>
      </w:tr>
    </w:tbl>
    <w:p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pStyle w:val="64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Cs w:val="28"/>
        </w:rPr>
      </w:pPr>
      <w:bookmarkStart w:id="11" w:name="_Toc184375256"/>
      <w:r>
        <w:rPr>
          <w:rFonts w:hint="default" w:ascii="PT Astra Serif" w:hAnsi="PT Astra Serif" w:cs="PT Astra Serif"/>
          <w:szCs w:val="28"/>
        </w:rPr>
        <w:t>1.5. КОНКУРСНОЕ ЗАДАНИЕ</w:t>
      </w:r>
      <w:bookmarkEnd w:id="11"/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Общая продолжительность Конкурсно</w:t>
      </w:r>
      <w:r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го задания</w:t>
      </w:r>
      <w:r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:highlight w:val="none"/>
          <w:vertAlign w:val="superscript"/>
          <w14:textFill>
            <w14:solidFill>
              <w14:schemeClr w14:val="tx1"/>
            </w14:solidFill>
          </w14:textFill>
        </w:rPr>
        <w:footnoteReference w:id="0"/>
      </w:r>
      <w:r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: 1</w:t>
      </w:r>
      <w:r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ч.</w:t>
      </w:r>
      <w:r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Количество конкурсных дней: 3 дня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Оценка знаний конкурсанта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  <w:bookmarkStart w:id="12" w:name="_Toc184375257"/>
    </w:p>
    <w:p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b/>
          <w:bCs/>
          <w:sz w:val="28"/>
          <w:szCs w:val="28"/>
        </w:rPr>
      </w:pPr>
      <w:r>
        <w:rPr>
          <w:rFonts w:hint="default" w:ascii="PT Astra Serif" w:hAnsi="PT Astra Serif" w:cs="PT Astra Serif"/>
          <w:b/>
          <w:bCs/>
          <w:sz w:val="28"/>
          <w:szCs w:val="28"/>
        </w:rPr>
        <w:t>1.5.1. Разработка/выбор конкурсного задания</w:t>
      </w:r>
      <w:bookmarkEnd w:id="12"/>
    </w:p>
    <w:p>
      <w:pPr>
        <w:spacing w:after="0" w:line="360" w:lineRule="auto"/>
        <w:ind w:firstLine="851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</w:pPr>
      <w:r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  <w:t>Конкурсное задание состоит из 4-х модулей, включает обязательную к выполнению часть (инвариант) – 2 модуля, и вариативную часть - 2 модуля.</w:t>
      </w:r>
    </w:p>
    <w:p>
      <w:pPr>
        <w:spacing w:after="0" w:line="360" w:lineRule="auto"/>
        <w:ind w:firstLine="851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</w:pPr>
      <w:r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  <w:t>Общее количество баллов конкурсного задания составляет 100.</w:t>
      </w:r>
    </w:p>
    <w:p>
      <w:pPr>
        <w:pStyle w:val="64"/>
        <w:spacing w:before="0" w:after="0"/>
        <w:contextualSpacing/>
        <w:jc w:val="center"/>
        <w:rPr>
          <w:rFonts w:hint="default" w:ascii="PT Astra Serif" w:hAnsi="PT Astra Serif" w:cs="PT Astra Serif"/>
          <w:szCs w:val="28"/>
        </w:rPr>
      </w:pPr>
      <w:r>
        <w:rPr>
          <w:rFonts w:hint="default" w:ascii="PT Astra Serif" w:hAnsi="PT Astra Serif" w:cs="PT Astra Serif"/>
          <w:szCs w:val="28"/>
        </w:rPr>
        <w:t xml:space="preserve">1.5.2. Структура модулей конкурсного задания 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eastAsia="ru-RU"/>
        </w:rPr>
        <w:t>Модуль А.</w:t>
      </w:r>
      <w:r>
        <w:rPr>
          <w:rFonts w:hint="default" w:ascii="PT Astra Serif" w:hAnsi="PT Astra Serif" w:eastAsia="Times New Roman" w:cs="PT Astra Serif"/>
          <w:b/>
          <w:color w:val="000000"/>
          <w:sz w:val="28"/>
          <w:szCs w:val="28"/>
          <w:lang w:eastAsia="ru-RU"/>
        </w:rPr>
        <w:t xml:space="preserve"> Анализ и работа с информацией</w:t>
      </w:r>
      <w:r>
        <w:rPr>
          <w:rFonts w:hint="default" w:ascii="PT Astra Serif" w:hAnsi="PT Astra Serif" w:eastAsia="Times New Roman" w:cs="PT Astra Serif"/>
          <w:b/>
          <w:i/>
          <w:sz w:val="28"/>
          <w:szCs w:val="28"/>
        </w:rPr>
        <w:t xml:space="preserve"> (Инвариант)</w:t>
      </w:r>
    </w:p>
    <w:p>
      <w:pPr>
        <w:spacing w:after="0" w:line="360" w:lineRule="auto"/>
        <w:ind w:firstLine="851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</w:pP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 xml:space="preserve">Цель: </w:t>
      </w:r>
      <w:r>
        <w:rPr>
          <w:rFonts w:hint="default" w:ascii="PT Astra Serif" w:hAnsi="PT Astra Serif" w:eastAsia="Century Gothic" w:cs="PT Astra Serif"/>
          <w:sz w:val="28"/>
          <w:szCs w:val="28"/>
        </w:rPr>
        <w:t>Разработать инновационный проект изделия, учитывая все стадии жизненного цикла.</w:t>
      </w:r>
      <w:bookmarkStart w:id="13" w:name="_Hlk159344684"/>
      <w:bookmarkEnd w:id="13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80" w:firstLineChars="314"/>
        <w:jc w:val="both"/>
        <w:textAlignment w:val="auto"/>
        <w:rPr>
          <w:rFonts w:hint="default" w:ascii="PT Astra Serif" w:hAnsi="PT Astra Serif" w:cs="PT Astra Serif"/>
          <w:lang w:val="ru-RU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>Вид изделия:</w:t>
      </w:r>
      <w:r>
        <w:rPr>
          <w:rFonts w:hint="default" w:ascii="PT Astra Serif" w:hAnsi="PT Astra Serif" w:eastAsia="Century Gothic" w:cs="PT Astra Serif"/>
          <w:sz w:val="28"/>
          <w:szCs w:val="28"/>
        </w:rPr>
        <w:t xml:space="preserve"> </w:t>
      </w:r>
      <w:r>
        <w:rPr>
          <w:rFonts w:hint="default" w:ascii="PT Astra Serif" w:hAnsi="PT Astra Serif" w:eastAsia="Century Gothic" w:cs="PT Astra Serif"/>
          <w:color w:val="auto"/>
          <w:kern w:val="0"/>
          <w:sz w:val="28"/>
          <w:szCs w:val="28"/>
          <w:lang w:val="ru-RU" w:eastAsia="en-US" w:bidi="ar-SA"/>
        </w:rPr>
        <w:t>многофункцио</w:t>
      </w:r>
      <w:r>
        <w:rPr>
          <w:rFonts w:hint="default" w:ascii="PT Astra Serif" w:hAnsi="PT Astra Serif" w:eastAsia="Century Gothic" w:cs="PT Astra Serif"/>
          <w:color w:val="auto"/>
          <w:kern w:val="0"/>
          <w:sz w:val="28"/>
          <w:szCs w:val="28"/>
          <w:lang w:val="ru-RU" w:eastAsia="en-US" w:bidi="ar-SA"/>
        </w:rPr>
        <w:t xml:space="preserve">нальный органайзер для </w:t>
      </w:r>
      <w:r>
        <w:rPr>
          <w:rFonts w:hint="default" w:ascii="PT Astra Serif" w:hAnsi="PT Astra Serif" w:eastAsia="Century Gothic" w:cs="PT Astra Serif"/>
          <w:color w:val="auto"/>
          <w:kern w:val="0"/>
          <w:sz w:val="28"/>
          <w:szCs w:val="28"/>
          <w:lang w:val="en-US" w:eastAsia="zh-CN" w:bidi="ar-SA"/>
        </w:rPr>
        <w:t>упорядоченного хранения различных однотипных предметов</w:t>
      </w:r>
      <w:r>
        <w:rPr>
          <w:rFonts w:hint="default" w:ascii="PT Astra Serif" w:hAnsi="PT Astra Serif" w:eastAsia="Century Gothic" w:cs="PT Astra Serif"/>
          <w:color w:val="auto"/>
          <w:kern w:val="0"/>
          <w:sz w:val="28"/>
          <w:szCs w:val="28"/>
          <w:lang w:val="ru-RU" w:eastAsia="zh-CN" w:bidi="ar-SA"/>
        </w:rPr>
        <w:t>.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b/>
          <w:sz w:val="28"/>
          <w:szCs w:val="28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>Минимальные требования: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</w:rPr>
        <w:t xml:space="preserve">вес изделия не более </w:t>
      </w: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3</w:t>
      </w:r>
      <w:r>
        <w:rPr>
          <w:rFonts w:hint="default" w:ascii="PT Astra Serif" w:hAnsi="PT Astra Serif" w:eastAsia="Century Gothic" w:cs="PT Astra Serif"/>
          <w:sz w:val="28"/>
          <w:szCs w:val="28"/>
        </w:rPr>
        <w:t xml:space="preserve"> кг;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val="ru-RU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- возможность изменения формы и/или размеров;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val="ru-RU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- сборка/разборка без инструментов;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- безопасность эксплуатации</w:t>
      </w:r>
      <w:r>
        <w:rPr>
          <w:rFonts w:hint="default" w:ascii="PT Astra Serif" w:hAnsi="PT Astra Serif" w:eastAsia="Century Gothic" w:cs="PT Astra Serif"/>
          <w:sz w:val="28"/>
          <w:szCs w:val="28"/>
        </w:rPr>
        <w:t>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модульность (не менее 4 модулей)</w:t>
      </w: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экологичность применяемых материалов.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b/>
          <w:sz w:val="28"/>
          <w:szCs w:val="28"/>
          <w:lang w:val="ru-RU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>Дополнительные требования (на выбор)</w:t>
      </w:r>
      <w:r>
        <w:rPr>
          <w:rFonts w:hint="default" w:ascii="PT Astra Serif" w:hAnsi="PT Astra Serif" w:eastAsia="Century Gothic" w:cs="PT Astra Serif"/>
          <w:b/>
          <w:sz w:val="28"/>
          <w:szCs w:val="28"/>
          <w:lang w:val="ru-RU"/>
        </w:rPr>
        <w:t>:</w:t>
      </w:r>
      <w:bookmarkStart w:id="14" w:name="_Hlk159344684"/>
      <w:bookmarkEnd w:id="14"/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</w:rPr>
        <w:t xml:space="preserve">вес изделия не более </w:t>
      </w: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1</w:t>
      </w:r>
      <w:r>
        <w:rPr>
          <w:rFonts w:hint="default" w:ascii="PT Astra Serif" w:hAnsi="PT Astra Serif" w:eastAsia="Century Gothic" w:cs="PT Astra Serif"/>
          <w:sz w:val="28"/>
          <w:szCs w:val="28"/>
        </w:rPr>
        <w:t>кг;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модульность (не менее 10 модулей)</w:t>
      </w: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использование композитных материалов;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изменение внешнего вида/стиля - «Лофт», «Техно», «Эко».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b/>
          <w:sz w:val="28"/>
          <w:szCs w:val="28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>Ключевые критерии оценки: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eastAsia="ru-RU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  <w:lang w:eastAsia="ru-RU"/>
        </w:rPr>
        <w:t>конкурентоспособность среди аналогов (цена, функциональные возможности);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eastAsia="ru-RU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en-US" w:eastAsia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  <w:lang w:eastAsia="ru-RU"/>
        </w:rPr>
        <w:t>удобство использования и простота обслуживания;</w:t>
      </w:r>
    </w:p>
    <w:p>
      <w:pPr>
        <w:pStyle w:val="84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eastAsia="ru-RU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en-US" w:eastAsia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  <w:lang w:eastAsia="ru-RU"/>
        </w:rPr>
        <w:t>предусмотрена возможность дальнейшей модернизации.</w:t>
      </w:r>
    </w:p>
    <w:p>
      <w:pPr>
        <w:spacing w:after="0" w:line="360" w:lineRule="auto"/>
        <w:ind w:firstLine="851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</w:pPr>
    </w:p>
    <w:p>
      <w:pPr>
        <w:pStyle w:val="64"/>
        <w:spacing w:before="0" w:after="0"/>
        <w:contextualSpacing/>
        <w:jc w:val="center"/>
        <w:rPr>
          <w:rFonts w:hint="default" w:ascii="PT Astra Serif" w:hAnsi="PT Astra Serif" w:cs="PT Astra Serif"/>
          <w:szCs w:val="28"/>
        </w:rPr>
      </w:pPr>
      <w:bookmarkStart w:id="15" w:name="_Toc184375258"/>
      <w:r>
        <w:rPr>
          <w:rFonts w:hint="default" w:ascii="PT Astra Serif" w:hAnsi="PT Astra Serif" w:cs="PT Astra Serif"/>
          <w:szCs w:val="28"/>
        </w:rPr>
        <w:t>1.5.2. Структура модулей конкурсного задания</w:t>
      </w:r>
      <w:bookmarkEnd w:id="15"/>
      <w:r>
        <w:rPr>
          <w:rFonts w:hint="default" w:ascii="PT Astra Serif" w:hAnsi="PT Astra Serif" w:cs="PT Astra Serif"/>
          <w:szCs w:val="28"/>
        </w:rPr>
        <w:t xml:space="preserve"> 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eastAsia="ru-RU"/>
        </w:rPr>
        <w:t>Модуль А.</w:t>
      </w:r>
      <w:r>
        <w:rPr>
          <w:rFonts w:hint="default" w:ascii="PT Astra Serif" w:hAnsi="PT Astra Serif" w:eastAsia="Times New Roman" w:cs="PT Astra Serif"/>
          <w:b/>
          <w:color w:val="000000"/>
          <w:sz w:val="28"/>
          <w:szCs w:val="28"/>
          <w:lang w:eastAsia="ru-RU"/>
        </w:rPr>
        <w:t xml:space="preserve"> Анализ и работа с информацией</w:t>
      </w:r>
      <w:r>
        <w:rPr>
          <w:rFonts w:hint="default" w:ascii="PT Astra Serif" w:hAnsi="PT Astra Serif" w:eastAsia="Times New Roman" w:cs="PT Astra Serif"/>
          <w:b/>
          <w:i/>
          <w:sz w:val="28"/>
          <w:szCs w:val="28"/>
        </w:rPr>
        <w:t xml:space="preserve"> (Инвариант)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Cs/>
          <w:i/>
          <w:sz w:val="28"/>
          <w:szCs w:val="28"/>
        </w:rPr>
        <w:t xml:space="preserve">Время на выполнение модуля: </w:t>
      </w:r>
      <w:r>
        <w:rPr>
          <w:rFonts w:hint="default" w:ascii="PT Astra Serif" w:hAnsi="PT Astra Serif" w:eastAsia="Times New Roman" w:cs="PT Astra Serif"/>
          <w:bCs/>
          <w:i/>
          <w:sz w:val="28"/>
          <w:szCs w:val="28"/>
          <w:lang w:val="ru-RU"/>
        </w:rPr>
        <w:t>3</w:t>
      </w:r>
      <w:r>
        <w:rPr>
          <w:rFonts w:hint="default" w:ascii="PT Astra Serif" w:hAnsi="PT Astra Serif" w:eastAsia="Times New Roman" w:cs="PT Astra Serif"/>
          <w:bCs/>
          <w:i/>
          <w:sz w:val="28"/>
          <w:szCs w:val="28"/>
        </w:rPr>
        <w:t xml:space="preserve"> часа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Задания: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Выполнение данного модуля направлено на оценку навыков работы с информацией, проведения сбора и анализа данных по тематике проекта, взаимодействия со стейкхолдерами и изучения существующей проблематики, потребностей целевой аудитории и стейкхолдеров, имеющихся решений и т.д.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Данный модуль позволяет проверить способность выстраивать коммуникацию, необходимую для сбора различной информации и обмена компетенциями для обеспечения высокого качества проработки проекта.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Также в данном модуле оцениваются умения управления планированием разработки проекта, обеспечение целостности и системности планирования разработки проекта, достаточность планируемых шагов для формирования потенциально успешного проекта.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Результатом данного модуля является разработка документации по проекту в различных форматах (текстовые, графические документы по КЗ):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709" w:leftChars="0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Верхнеуровневая проблематика и концепция проекта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Предпосылки/проблемы, стимулирующие создание проекта, цели и ожидаемые результаты проекта (в виде текста, таблицы или визуализированной схемы).</w:t>
      </w:r>
      <w:bookmarkStart w:id="25" w:name="_GoBack"/>
      <w:bookmarkEnd w:id="25"/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709" w:leftChars="0"/>
        <w:contextualSpacing/>
        <w:jc w:val="both"/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Анализ текущей ситуации</w:t>
      </w:r>
    </w:p>
    <w:p>
      <w:pPr>
        <w:numPr>
          <w:ilvl w:val="1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Описание общей проблематики, контекста;</w:t>
      </w:r>
    </w:p>
    <w:p>
      <w:pPr>
        <w:numPr>
          <w:ilvl w:val="1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Анализ потенциальных потребителей, стейкхолдеров;</w:t>
      </w:r>
    </w:p>
    <w:p>
      <w:pPr>
        <w:numPr>
          <w:ilvl w:val="1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Как сейчас решается проблема?</w:t>
      </w:r>
    </w:p>
    <w:p>
      <w:pPr>
        <w:numPr>
          <w:ilvl w:val="1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Анализ потенциальных конкурентов (стоимость, качественные характеристики);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709" w:leftChars="0"/>
        <w:contextualSpacing/>
        <w:jc w:val="both"/>
        <w:rPr>
          <w:rFonts w:hint="default" w:ascii="PT Astra Serif" w:hAnsi="PT Astra Serif" w:eastAsia="Times New Roman" w:cs="PT Astra Serif"/>
          <w:b/>
          <w:bCs/>
          <w:sz w:val="28"/>
          <w:szCs w:val="28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В качестве преимущества для систематизации проекта в модуле «А» возможна разработка модели Остервальдера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contextualSpacing/>
        <w:rPr>
          <w:rFonts w:hint="default" w:ascii="PT Astra Serif" w:hAnsi="PT Astra Serif" w:eastAsia="Times New Roman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Модуль Б.</w:t>
      </w:r>
      <w:r>
        <w:rPr>
          <w:rFonts w:hint="default" w:ascii="PT Astra Serif" w:hAnsi="PT Astra Serif" w:eastAsia="Times New Roman" w:cs="PT Astra Serif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 Разработка концепции проекта </w:t>
      </w:r>
      <w:r>
        <w:rPr>
          <w:rFonts w:hint="default" w:ascii="PT Astra Serif" w:hAnsi="PT Astra Serif" w:eastAsia="Times New Roman" w:cs="PT Astra Serif"/>
          <w:b/>
          <w:i/>
          <w:i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(Инвариант)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bCs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Время на выполнение модуля: </w:t>
      </w:r>
      <w:r>
        <w:rPr>
          <w:rFonts w:hint="default" w:ascii="PT Astra Serif" w:hAnsi="PT Astra Serif" w:eastAsia="Times New Roman" w:cs="PT Astra Serif"/>
          <w:bCs/>
          <w:i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PT Astra Serif" w:hAnsi="PT Astra Serif" w:eastAsia="Times New Roman" w:cs="PT Astra Serif"/>
          <w:bCs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часов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Задания: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Системное описание решение в качестве концепции проекта в виде слайдов. Концепция должна включать: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709" w:leftChars="0"/>
        <w:contextualSpacing/>
        <w:jc w:val="both"/>
        <w:rPr>
          <w:rFonts w:hint="default" w:ascii="PT Astra Serif" w:hAnsi="PT Astra Serif" w:eastAsia="Arial" w:cs="PT Astra Serif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Дизайн-решение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Периметр проекта;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Условия реализации проекта (где и как производить, маркетинг и сбыт и т.д.);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709" w:leftChars="0"/>
        <w:contextualSpacing/>
        <w:jc w:val="both"/>
        <w:rPr>
          <w:rFonts w:hint="default" w:ascii="PT Astra Serif" w:hAnsi="PT Astra Serif" w:eastAsia="Arial" w:cs="PT Astra Serif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Персонал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Необходимые специалисты/профессии;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Организационная структура проекта;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Источники подбора персонала.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709" w:leftChars="0"/>
        <w:contextualSpacing/>
        <w:jc w:val="both"/>
        <w:rPr>
          <w:rFonts w:hint="default" w:ascii="PT Astra Serif" w:hAnsi="PT Astra Serif" w:eastAsia="Arial" w:cs="PT Astra Serif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Юнит-экономика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Стоимость продукта;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Расчет всех затрат на реализацию проекта;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Расчет основных параметров юнит-экономики.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709" w:leftChars="0"/>
        <w:contextualSpacing/>
        <w:jc w:val="both"/>
        <w:rPr>
          <w:rFonts w:hint="default" w:ascii="PT Astra Serif" w:hAnsi="PT Astra Serif" w:eastAsia="Arial" w:cs="PT Astra Serif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Дорожная карта реализации проекта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after="0" w:line="360" w:lineRule="auto"/>
        <w:ind w:left="709" w:leftChars="0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Ограничения и риски проекта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*Также данный модуль может включать получение дополнительной новой информации по блоку «управление изменениями» с дополнительными вводными условиям для разработки проекта, уточняющими параметры для разработки. </w:t>
      </w:r>
    </w:p>
    <w:p>
      <w:pPr>
        <w:spacing w:after="0" w:line="360" w:lineRule="auto"/>
        <w:contextualSpacing/>
        <w:jc w:val="both"/>
        <w:rPr>
          <w:rFonts w:hint="default" w:ascii="PT Astra Serif" w:hAnsi="PT Astra Serif" w:eastAsia="Calibri" w:cs="PT Astra Serif"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Модуль В.</w:t>
      </w:r>
      <w:r>
        <w:rPr>
          <w:rFonts w:hint="default" w:ascii="PT Astra Serif" w:hAnsi="PT Astra Serif" w:eastAsia="Times New Roman" w:cs="PT Astra Serif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 Подготовка презентации проекта </w:t>
      </w:r>
      <w:r>
        <w:rPr>
          <w:rFonts w:hint="default" w:ascii="PT Astra Serif" w:hAnsi="PT Astra Serif" w:eastAsia="Times New Roman" w:cs="PT Astra Serif"/>
          <w:b/>
          <w:i/>
          <w:i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(Вариатив)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bCs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Время на выполнение модуля: 3 часа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Задания: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Подготовка презентации проекта. Необходимо представить выводы по проекту (обобщение информации): рыночное предложение, конкурентные преимущества, обоснование актуальности проекта и т.д.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Модуль Г.</w:t>
      </w:r>
      <w:r>
        <w:rPr>
          <w:rFonts w:hint="default" w:ascii="PT Astra Serif" w:hAnsi="PT Astra Serif" w:eastAsia="Times New Roman" w:cs="PT Astra Serif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 Защита проекта</w:t>
      </w:r>
      <w:r>
        <w:rPr>
          <w:rFonts w:hint="default" w:ascii="PT Astra Serif" w:hAnsi="PT Astra Serif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PT Astra Serif" w:hAnsi="PT Astra Serif" w:eastAsia="Times New Roman" w:cs="PT Astra Serif"/>
          <w:b/>
          <w:i/>
          <w:i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(Вариатив)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bCs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Время на выполнение модуля: 1 час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Times New Roman" w:cs="PT Astra Serif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Задания: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Презентация должна иметь продолжительность до 7 минут, далее конкурсант отвечает на вопросы экспертов. Время на ответы на вопросы – до 10 минут.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Arial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Конкурсант готовит и сдает презентацию для защиты проекта.</w:t>
      </w:r>
    </w:p>
    <w:p>
      <w:pPr>
        <w:spacing w:after="0" w:line="360" w:lineRule="auto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</w:p>
    <w:p>
      <w:pPr>
        <w:pStyle w:val="63"/>
        <w:spacing w:before="0" w:after="0"/>
        <w:contextualSpacing/>
        <w:jc w:val="center"/>
        <w:rPr>
          <w:rFonts w:hint="default" w:ascii="PT Astra Serif" w:hAnsi="PT Astra Serif" w:cs="PT Astra Serif"/>
          <w:color w:val="auto"/>
          <w:sz w:val="28"/>
          <w:szCs w:val="28"/>
        </w:rPr>
      </w:pPr>
      <w:bookmarkStart w:id="16" w:name="_Toc184375259"/>
      <w:bookmarkStart w:id="17" w:name="_Toc78885643"/>
      <w:r>
        <w:rPr>
          <w:rFonts w:hint="default" w:ascii="PT Astra Serif" w:hAnsi="PT Astra Serif" w:cs="PT Astra Serif"/>
          <w:color w:val="auto"/>
          <w:sz w:val="28"/>
          <w:szCs w:val="28"/>
        </w:rPr>
        <w:t>2. СПЕЦИАЛЬНЫЕ ПРАВИЛА КОМПЕТЕНЦИИ</w:t>
      </w:r>
      <w:r>
        <w:rPr>
          <w:rFonts w:hint="default" w:ascii="PT Astra Serif" w:hAnsi="PT Astra Serif" w:cs="PT Astra Serif"/>
          <w:i/>
          <w:color w:val="auto"/>
          <w:sz w:val="28"/>
          <w:szCs w:val="28"/>
          <w:vertAlign w:val="superscript"/>
        </w:rPr>
        <w:footnoteReference w:id="1"/>
      </w:r>
      <w:bookmarkEnd w:id="16"/>
      <w:bookmarkEnd w:id="17"/>
    </w:p>
    <w:p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Модули выполнения задания не обязательно могут быть привязаны к конкретному дню и ограничиваться временными границами данного дня. То есть, как пример, модуль А и модуль Б могут быть начаты в один день.</w:t>
      </w:r>
    </w:p>
    <w:p>
      <w:pPr>
        <w:spacing w:after="0" w:line="360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pStyle w:val="64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Cs w:val="28"/>
        </w:rPr>
      </w:pPr>
      <w:bookmarkStart w:id="18" w:name="_Toc78885659"/>
      <w:bookmarkStart w:id="19" w:name="_Toc184134074"/>
      <w:bookmarkStart w:id="20" w:name="_Toc184375260"/>
      <w:r>
        <w:rPr>
          <w:rFonts w:hint="default" w:ascii="PT Astra Serif" w:hAnsi="PT Astra Serif" w:cs="PT Astra Serif"/>
          <w:color w:val="000000"/>
          <w:szCs w:val="28"/>
        </w:rPr>
        <w:t xml:space="preserve">2.1. </w:t>
      </w:r>
      <w:bookmarkEnd w:id="18"/>
      <w:r>
        <w:rPr>
          <w:rFonts w:hint="default" w:ascii="PT Astra Serif" w:hAnsi="PT Astra Serif" w:cs="PT Astra Serif"/>
          <w:szCs w:val="28"/>
        </w:rPr>
        <w:t>Личный инструмент конкурсанта</w:t>
      </w:r>
      <w:bookmarkEnd w:id="19"/>
      <w:bookmarkEnd w:id="20"/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Неопределенный - можно привезти оборудование по списку, кроме запрещенного.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Конкурсант может иметь при себе: собственный ПК (ноутбук с сопутствующими устройствами (мышка, наушники и т.д.), с установленным ПО (офисным, специализированным и другим необходимым для работы), шаблоны документации (презентация, таблицы, схемы и т.д.), флеш-карта/жесткий диск.</w:t>
      </w:r>
    </w:p>
    <w:p>
      <w:pPr>
        <w:spacing w:after="0" w:line="360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pStyle w:val="64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Cs w:val="28"/>
        </w:rPr>
      </w:pPr>
      <w:bookmarkStart w:id="21" w:name="_Toc184134075"/>
      <w:bookmarkStart w:id="22" w:name="_Toc184375261"/>
      <w:bookmarkStart w:id="23" w:name="_Toc78885660"/>
      <w:r>
        <w:rPr>
          <w:rFonts w:hint="default" w:ascii="PT Astra Serif" w:hAnsi="PT Astra Serif" w:cs="PT Astra Serif"/>
          <w:szCs w:val="28"/>
        </w:rPr>
        <w:t>2.2.</w:t>
      </w:r>
      <w:r>
        <w:rPr>
          <w:rFonts w:hint="default" w:ascii="PT Astra Serif" w:hAnsi="PT Astra Serif" w:cs="PT Astra Serif"/>
          <w:i/>
          <w:szCs w:val="28"/>
        </w:rPr>
        <w:t xml:space="preserve"> </w:t>
      </w:r>
      <w:r>
        <w:rPr>
          <w:rFonts w:hint="default" w:ascii="PT Astra Serif" w:hAnsi="PT Astra Serif" w:cs="PT Astra Serif"/>
          <w:szCs w:val="28"/>
        </w:rPr>
        <w:t>Материалы, оборудование и инструменты, запрещенные на площадке</w:t>
      </w:r>
      <w:bookmarkEnd w:id="21"/>
      <w:bookmarkEnd w:id="22"/>
      <w:bookmarkEnd w:id="23"/>
    </w:p>
    <w:p>
      <w:pPr>
        <w:spacing w:after="0" w:line="360" w:lineRule="auto"/>
        <w:ind w:left="851" w:hanging="142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- использование мобильных телефонов и наушников возможно только</w:t>
      </w:r>
      <w:r>
        <w:rPr>
          <w:rFonts w:hint="default" w:ascii="PT Astra Serif" w:hAnsi="PT Astra Serif" w:eastAsia="Times New Roman" w:cs="PT Astra Serif"/>
          <w:sz w:val="28"/>
          <w:szCs w:val="28"/>
          <w:lang w:val="ru-RU"/>
        </w:rPr>
        <w:t xml:space="preserve"> </w:t>
      </w:r>
      <w:r>
        <w:rPr>
          <w:rFonts w:hint="default" w:ascii="PT Astra Serif" w:hAnsi="PT Astra Serif" w:eastAsia="Times New Roman" w:cs="PT Astra Serif"/>
          <w:sz w:val="28"/>
          <w:szCs w:val="28"/>
        </w:rPr>
        <w:t>по согласованию с главным экспертом компетенции.</w:t>
      </w:r>
    </w:p>
    <w:p>
      <w:pPr>
        <w:spacing w:after="0" w:line="240" w:lineRule="auto"/>
        <w:contextualSpacing/>
        <w:jc w:val="both"/>
        <w:rPr>
          <w:rFonts w:hint="default" w:ascii="PT Astra Serif" w:hAnsi="PT Astra Serif" w:eastAsia="Times New Roman" w:cs="PT Astra Serif"/>
          <w:sz w:val="20"/>
          <w:szCs w:val="20"/>
        </w:rPr>
      </w:pPr>
    </w:p>
    <w:p>
      <w:pPr>
        <w:pStyle w:val="63"/>
        <w:spacing w:before="0" w:after="0"/>
        <w:contextualSpacing/>
        <w:jc w:val="center"/>
        <w:rPr>
          <w:rFonts w:hint="default" w:ascii="PT Astra Serif" w:hAnsi="PT Astra Serif" w:cs="PT Astra Serif"/>
          <w:color w:val="auto"/>
          <w:sz w:val="28"/>
          <w:szCs w:val="28"/>
        </w:rPr>
      </w:pPr>
      <w:bookmarkStart w:id="24" w:name="_Toc184375262"/>
      <w:r>
        <w:rPr>
          <w:rFonts w:hint="default" w:ascii="PT Astra Serif" w:hAnsi="PT Astra Serif" w:cs="PT Astra Serif"/>
          <w:color w:val="auto"/>
          <w:sz w:val="28"/>
          <w:szCs w:val="28"/>
        </w:rPr>
        <w:t>3. Приложения</w:t>
      </w:r>
      <w:bookmarkEnd w:id="24"/>
    </w:p>
    <w:p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Приложение 1. Инструкция по заполнению матрицы конкурсного задания</w:t>
      </w:r>
    </w:p>
    <w:p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Приложение 2. Матрица конкурсного задания</w:t>
      </w:r>
    </w:p>
    <w:p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Приложение 3. Инструкция по охране труда</w:t>
      </w:r>
    </w:p>
    <w:p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hint="default" w:ascii="PT Astra Serif" w:hAnsi="PT Astra Serif" w:eastAsia="Times New Roman" w:cs="PT Astra Serif"/>
          <w:i/>
          <w:iCs/>
          <w:sz w:val="28"/>
          <w:szCs w:val="28"/>
          <w:lang w:eastAsia="ru-RU"/>
        </w:rPr>
      </w:pPr>
    </w:p>
    <w:sectPr>
      <w:pgSz w:w="11906" w:h="16838"/>
      <w:pgMar w:top="1134" w:right="851" w:bottom="1134" w:left="1701" w:header="709" w:footer="709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Cambria">
    <w:altName w:val="FreeSerif"/>
    <w:panose1 w:val="02040503050406030204"/>
    <w:charset w:val="CC"/>
    <w:family w:val="roman"/>
    <w:pitch w:val="default"/>
    <w:sig w:usb0="00000000" w:usb1="00000000" w:usb2="02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03" w:csb0="600101FF" w:csb1="FFFF0000"/>
  </w:font>
  <w:font w:name="FrutigerLTStd-Light">
    <w:altName w:val="C059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">
    <w:altName w:val="Noto Looped Lao Bold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Looped Lao Bold">
    <w:panose1 w:val="020B0502040504020204"/>
    <w:charset w:val="00"/>
    <w:family w:val="auto"/>
    <w:pitch w:val="default"/>
    <w:sig w:usb0="02000000" w:usb1="00000000" w:usb2="00000000" w:usb3="00000000" w:csb0="00000001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  <w:font w:name="Arial Unicode MS">
    <w:altName w:val="DejaVu Sans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entury Gothic">
    <w:altName w:val="C059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Symbols">
    <w:panose1 w:val="020B0502040504020204"/>
    <w:charset w:val="00"/>
    <w:family w:val="auto"/>
    <w:pitch w:val="default"/>
    <w:sig w:usb0="00000003" w:usb1="0200E4B4" w:usb2="00000000" w:usb3="00000000" w:csb0="0000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Roboto">
    <w:panose1 w:val="02000000000000000000"/>
    <w:charset w:val="00"/>
    <w:family w:val="auto"/>
    <w:pitch w:val="default"/>
    <w:sig w:usb0="E00002FF" w:usb1="5000217F" w:usb2="00000021" w:usb3="00000000" w:csb0="2000019F" w:csb1="00000000"/>
  </w:font>
  <w:font w:name="sans-serif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ans">
    <w:panose1 w:val="020B0603020203020204"/>
    <w:charset w:val="00"/>
    <w:family w:val="auto"/>
    <w:pitch w:val="default"/>
    <w:sig w:usb0="A00002EF" w:usb1="5000204B" w:usb2="00000020" w:usb3="00000000" w:csb0="2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9104416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9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 w:line="259" w:lineRule="auto"/>
      </w:pPr>
      <w:r>
        <w:separator/>
      </w:r>
    </w:p>
  </w:footnote>
  <w:footnote w:type="continuationSeparator" w:id="5">
    <w:p>
      <w:pPr>
        <w:spacing w:before="0" w:after="0" w:line="259" w:lineRule="auto"/>
      </w:pPr>
      <w:r>
        <w:continuationSeparator/>
      </w:r>
    </w:p>
  </w:footnote>
  <w:footnote w:id="0"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1"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55EC9"/>
    <w:multiLevelType w:val="multilevel"/>
    <w:tmpl w:val="14D55EC9"/>
    <w:lvl w:ilvl="0" w:tentative="0">
      <w:start w:val="1"/>
      <w:numFmt w:val="bullet"/>
      <w:pStyle w:val="79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157603E3"/>
    <w:multiLevelType w:val="multilevel"/>
    <w:tmpl w:val="157603E3"/>
    <w:lvl w:ilvl="0" w:tentative="0">
      <w:start w:val="1"/>
      <w:numFmt w:val="bullet"/>
      <w:pStyle w:val="58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1DD34C83"/>
    <w:multiLevelType w:val="multilevel"/>
    <w:tmpl w:val="1DD34C83"/>
    <w:lvl w:ilvl="0" w:tentative="0">
      <w:start w:val="1"/>
      <w:numFmt w:val="bullet"/>
      <w:pStyle w:val="7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3D7F6017"/>
    <w:multiLevelType w:val="multilevel"/>
    <w:tmpl w:val="3D7F6017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>
    <w:nsid w:val="49230CB0"/>
    <w:multiLevelType w:val="multilevel"/>
    <w:tmpl w:val="49230CB0"/>
    <w:lvl w:ilvl="0" w:tentative="0">
      <w:start w:val="1"/>
      <w:numFmt w:val="bullet"/>
      <w:pStyle w:val="48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50F80028"/>
    <w:multiLevelType w:val="multilevel"/>
    <w:tmpl w:val="50F80028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 w:ascii="PT Astra Serif" w:hAnsi="PT Astra Serif" w:cs="PT Astra Serif"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CF3354"/>
    <w:multiLevelType w:val="multilevel"/>
    <w:tmpl w:val="59CF335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bullet"/>
      <w:lvlText w:val="−"/>
      <w:lvlJc w:val="left"/>
      <w:pPr>
        <w:ind w:left="1789" w:hanging="720"/>
      </w:pPr>
      <w:rPr>
        <w:rFonts w:ascii="Noto Sans Symbols" w:hAnsi="Noto Sans Symbols" w:eastAsia="Noto Sans Symbols" w:cs="Noto Sans Symbols"/>
      </w:rPr>
    </w:lvl>
    <w:lvl w:ilvl="2" w:tentative="0">
      <w:start w:val="1"/>
      <w:numFmt w:val="decimal"/>
      <w:lvlText w:val="%1.−.%3."/>
      <w:lvlJc w:val="left"/>
      <w:pPr>
        <w:ind w:left="2498" w:hanging="720"/>
      </w:pPr>
    </w:lvl>
    <w:lvl w:ilvl="3" w:tentative="0">
      <w:start w:val="1"/>
      <w:numFmt w:val="decimal"/>
      <w:lvlText w:val="%1.−.%3.%4."/>
      <w:lvlJc w:val="left"/>
      <w:pPr>
        <w:ind w:left="3567" w:hanging="1080"/>
      </w:pPr>
    </w:lvl>
    <w:lvl w:ilvl="4" w:tentative="0">
      <w:start w:val="1"/>
      <w:numFmt w:val="decimal"/>
      <w:lvlText w:val="%1.−.%3.%4.%5."/>
      <w:lvlJc w:val="left"/>
      <w:pPr>
        <w:ind w:left="4636" w:hanging="1440"/>
      </w:pPr>
    </w:lvl>
    <w:lvl w:ilvl="5" w:tentative="0">
      <w:start w:val="1"/>
      <w:numFmt w:val="decimal"/>
      <w:lvlText w:val="%1.−.%3.%4.%5.%6."/>
      <w:lvlJc w:val="left"/>
      <w:pPr>
        <w:ind w:left="5345" w:hanging="1440"/>
      </w:pPr>
    </w:lvl>
    <w:lvl w:ilvl="6" w:tentative="0">
      <w:start w:val="1"/>
      <w:numFmt w:val="decimal"/>
      <w:lvlText w:val="%1.−.%3.%4.%5.%6.%7."/>
      <w:lvlJc w:val="left"/>
      <w:pPr>
        <w:ind w:left="6414" w:hanging="1800"/>
      </w:pPr>
    </w:lvl>
    <w:lvl w:ilvl="7" w:tentative="0">
      <w:start w:val="1"/>
      <w:numFmt w:val="decimal"/>
      <w:lvlText w:val="%1.−.%3.%4.%5.%6.%7.%8."/>
      <w:lvlJc w:val="left"/>
      <w:pPr>
        <w:ind w:left="7483" w:hanging="2160"/>
      </w:pPr>
    </w:lvl>
    <w:lvl w:ilvl="8" w:tentative="0">
      <w:start w:val="1"/>
      <w:numFmt w:val="decimal"/>
      <w:lvlText w:val="%1.−.%3.%4.%5.%6.%7.%8.%9."/>
      <w:lvlJc w:val="left"/>
      <w:pPr>
        <w:ind w:left="8192" w:hanging="2160"/>
      </w:pPr>
    </w:lvl>
  </w:abstractNum>
  <w:abstractNum w:abstractNumId="7">
    <w:nsid w:val="625A5EBB"/>
    <w:multiLevelType w:val="multilevel"/>
    <w:tmpl w:val="625A5EBB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>
    <w:nsid w:val="63C24ED4"/>
    <w:multiLevelType w:val="multilevel"/>
    <w:tmpl w:val="63C24ED4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9"/>
  <w:displayHorizontalDrawingGridEvery w:val="1"/>
  <w:displayVerticalDrawingGridEvery w:val="1"/>
  <w:noPunctuationKerning w:val="1"/>
  <w:characterSpacingControl w:val="doNotCompress"/>
  <w:footnotePr>
    <w:footnote w:id="4"/>
    <w:footnote w:id="5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253A0"/>
    <w:rsid w:val="00041A78"/>
    <w:rsid w:val="00054C98"/>
    <w:rsid w:val="00056CDE"/>
    <w:rsid w:val="00067386"/>
    <w:rsid w:val="000732FF"/>
    <w:rsid w:val="00081D65"/>
    <w:rsid w:val="000A1F96"/>
    <w:rsid w:val="000B0009"/>
    <w:rsid w:val="000B3397"/>
    <w:rsid w:val="000B55A2"/>
    <w:rsid w:val="000C2FBF"/>
    <w:rsid w:val="000C3B22"/>
    <w:rsid w:val="000D258B"/>
    <w:rsid w:val="000D43CC"/>
    <w:rsid w:val="000D4C46"/>
    <w:rsid w:val="000D74AA"/>
    <w:rsid w:val="000F0FC3"/>
    <w:rsid w:val="000F72D4"/>
    <w:rsid w:val="00100FE1"/>
    <w:rsid w:val="001024BE"/>
    <w:rsid w:val="00106738"/>
    <w:rsid w:val="00114D79"/>
    <w:rsid w:val="001229E8"/>
    <w:rsid w:val="00126BB7"/>
    <w:rsid w:val="00127743"/>
    <w:rsid w:val="00137545"/>
    <w:rsid w:val="0015561E"/>
    <w:rsid w:val="001627D5"/>
    <w:rsid w:val="0017612A"/>
    <w:rsid w:val="00181992"/>
    <w:rsid w:val="001B4B65"/>
    <w:rsid w:val="001C1282"/>
    <w:rsid w:val="001C63E7"/>
    <w:rsid w:val="001E1DF9"/>
    <w:rsid w:val="001E3743"/>
    <w:rsid w:val="002106BE"/>
    <w:rsid w:val="00220E70"/>
    <w:rsid w:val="002228E8"/>
    <w:rsid w:val="00237603"/>
    <w:rsid w:val="00245F15"/>
    <w:rsid w:val="00247E8C"/>
    <w:rsid w:val="00251C65"/>
    <w:rsid w:val="00270E01"/>
    <w:rsid w:val="00272685"/>
    <w:rsid w:val="002776A1"/>
    <w:rsid w:val="00283355"/>
    <w:rsid w:val="00287DCA"/>
    <w:rsid w:val="0029547E"/>
    <w:rsid w:val="002B1426"/>
    <w:rsid w:val="002B3DBB"/>
    <w:rsid w:val="002C0802"/>
    <w:rsid w:val="002D2AF0"/>
    <w:rsid w:val="002E1C62"/>
    <w:rsid w:val="002F2906"/>
    <w:rsid w:val="00310D5C"/>
    <w:rsid w:val="0032065E"/>
    <w:rsid w:val="003242E1"/>
    <w:rsid w:val="00333911"/>
    <w:rsid w:val="00334165"/>
    <w:rsid w:val="003449FC"/>
    <w:rsid w:val="003531E7"/>
    <w:rsid w:val="00354375"/>
    <w:rsid w:val="003601A4"/>
    <w:rsid w:val="0037535C"/>
    <w:rsid w:val="003815C7"/>
    <w:rsid w:val="003920EE"/>
    <w:rsid w:val="003934F8"/>
    <w:rsid w:val="00397A1B"/>
    <w:rsid w:val="003A21C8"/>
    <w:rsid w:val="003A3B37"/>
    <w:rsid w:val="003B6085"/>
    <w:rsid w:val="003C1D7A"/>
    <w:rsid w:val="003C5F97"/>
    <w:rsid w:val="003D1E51"/>
    <w:rsid w:val="004254FE"/>
    <w:rsid w:val="00436FFC"/>
    <w:rsid w:val="00437D28"/>
    <w:rsid w:val="0044354A"/>
    <w:rsid w:val="00454353"/>
    <w:rsid w:val="00457271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D43AD"/>
    <w:rsid w:val="004D60B5"/>
    <w:rsid w:val="004E061C"/>
    <w:rsid w:val="004E49C7"/>
    <w:rsid w:val="004E785E"/>
    <w:rsid w:val="004E7905"/>
    <w:rsid w:val="005055FF"/>
    <w:rsid w:val="00510059"/>
    <w:rsid w:val="00536C02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2A24"/>
    <w:rsid w:val="005B66FC"/>
    <w:rsid w:val="005B6986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53D1"/>
    <w:rsid w:val="00653B50"/>
    <w:rsid w:val="0066064C"/>
    <w:rsid w:val="00666BDD"/>
    <w:rsid w:val="006776B4"/>
    <w:rsid w:val="006873B8"/>
    <w:rsid w:val="006A4EFB"/>
    <w:rsid w:val="006B0FEA"/>
    <w:rsid w:val="006C6D6D"/>
    <w:rsid w:val="006C7A3B"/>
    <w:rsid w:val="006C7CE4"/>
    <w:rsid w:val="006E12B0"/>
    <w:rsid w:val="006F4464"/>
    <w:rsid w:val="006F4C6F"/>
    <w:rsid w:val="00714CA4"/>
    <w:rsid w:val="00715229"/>
    <w:rsid w:val="007250D9"/>
    <w:rsid w:val="007253B9"/>
    <w:rsid w:val="007274B8"/>
    <w:rsid w:val="00727F97"/>
    <w:rsid w:val="00730AE0"/>
    <w:rsid w:val="0074372D"/>
    <w:rsid w:val="007604F9"/>
    <w:rsid w:val="00764773"/>
    <w:rsid w:val="007735DC"/>
    <w:rsid w:val="0078311A"/>
    <w:rsid w:val="00784B11"/>
    <w:rsid w:val="00791D70"/>
    <w:rsid w:val="007A0D84"/>
    <w:rsid w:val="007A61C5"/>
    <w:rsid w:val="007A6888"/>
    <w:rsid w:val="007B0DCC"/>
    <w:rsid w:val="007B2222"/>
    <w:rsid w:val="007B3FD5"/>
    <w:rsid w:val="007D3601"/>
    <w:rsid w:val="007D6C20"/>
    <w:rsid w:val="007E73B4"/>
    <w:rsid w:val="00803D6D"/>
    <w:rsid w:val="00812516"/>
    <w:rsid w:val="00832EBB"/>
    <w:rsid w:val="00834734"/>
    <w:rsid w:val="00835BF6"/>
    <w:rsid w:val="008761F3"/>
    <w:rsid w:val="00876D18"/>
    <w:rsid w:val="00881DD2"/>
    <w:rsid w:val="00882B54"/>
    <w:rsid w:val="00891198"/>
    <w:rsid w:val="008912AE"/>
    <w:rsid w:val="008B0F23"/>
    <w:rsid w:val="008B2CE6"/>
    <w:rsid w:val="008B560B"/>
    <w:rsid w:val="008C34BC"/>
    <w:rsid w:val="008C41F7"/>
    <w:rsid w:val="008D6DCF"/>
    <w:rsid w:val="008E5424"/>
    <w:rsid w:val="008F61F7"/>
    <w:rsid w:val="00900604"/>
    <w:rsid w:val="0090143F"/>
    <w:rsid w:val="00901689"/>
    <w:rsid w:val="009018F0"/>
    <w:rsid w:val="00905A80"/>
    <w:rsid w:val="00906E82"/>
    <w:rsid w:val="009203A8"/>
    <w:rsid w:val="009221AD"/>
    <w:rsid w:val="009247E8"/>
    <w:rsid w:val="009440D0"/>
    <w:rsid w:val="00945E13"/>
    <w:rsid w:val="00953113"/>
    <w:rsid w:val="00954B97"/>
    <w:rsid w:val="00955127"/>
    <w:rsid w:val="00956BC9"/>
    <w:rsid w:val="00961DA0"/>
    <w:rsid w:val="009625E2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078B5"/>
    <w:rsid w:val="00A11569"/>
    <w:rsid w:val="00A204BB"/>
    <w:rsid w:val="00A20A67"/>
    <w:rsid w:val="00A27EE4"/>
    <w:rsid w:val="00A36EE2"/>
    <w:rsid w:val="00A4187F"/>
    <w:rsid w:val="00A57976"/>
    <w:rsid w:val="00A636B8"/>
    <w:rsid w:val="00A6440C"/>
    <w:rsid w:val="00A64B0B"/>
    <w:rsid w:val="00A6671B"/>
    <w:rsid w:val="00A8374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0C81"/>
    <w:rsid w:val="00B610A2"/>
    <w:rsid w:val="00B64207"/>
    <w:rsid w:val="00BA2CF0"/>
    <w:rsid w:val="00BA7736"/>
    <w:rsid w:val="00BB5106"/>
    <w:rsid w:val="00BC3813"/>
    <w:rsid w:val="00BC7808"/>
    <w:rsid w:val="00BD625C"/>
    <w:rsid w:val="00BE099A"/>
    <w:rsid w:val="00C00224"/>
    <w:rsid w:val="00C06EBC"/>
    <w:rsid w:val="00C06F7E"/>
    <w:rsid w:val="00C0723F"/>
    <w:rsid w:val="00C121F9"/>
    <w:rsid w:val="00C17B01"/>
    <w:rsid w:val="00C21E3A"/>
    <w:rsid w:val="00C26C83"/>
    <w:rsid w:val="00C31CA1"/>
    <w:rsid w:val="00C34D0A"/>
    <w:rsid w:val="00C454F2"/>
    <w:rsid w:val="00C52383"/>
    <w:rsid w:val="00C56A9B"/>
    <w:rsid w:val="00C740CF"/>
    <w:rsid w:val="00C8277D"/>
    <w:rsid w:val="00C83114"/>
    <w:rsid w:val="00C95538"/>
    <w:rsid w:val="00C96567"/>
    <w:rsid w:val="00C97E44"/>
    <w:rsid w:val="00CA6CCD"/>
    <w:rsid w:val="00CA73C0"/>
    <w:rsid w:val="00CC50B7"/>
    <w:rsid w:val="00CD66EF"/>
    <w:rsid w:val="00CE0D29"/>
    <w:rsid w:val="00CE2498"/>
    <w:rsid w:val="00CE36B8"/>
    <w:rsid w:val="00CF0DA9"/>
    <w:rsid w:val="00D02C00"/>
    <w:rsid w:val="00D12ABD"/>
    <w:rsid w:val="00D16009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A0443"/>
    <w:rsid w:val="00DE39D8"/>
    <w:rsid w:val="00DE5614"/>
    <w:rsid w:val="00E0407E"/>
    <w:rsid w:val="00E04FDF"/>
    <w:rsid w:val="00E1438B"/>
    <w:rsid w:val="00E15F2A"/>
    <w:rsid w:val="00E20304"/>
    <w:rsid w:val="00E279E8"/>
    <w:rsid w:val="00E4373A"/>
    <w:rsid w:val="00E579D6"/>
    <w:rsid w:val="00E75567"/>
    <w:rsid w:val="00E857D6"/>
    <w:rsid w:val="00EA0163"/>
    <w:rsid w:val="00EA0C3A"/>
    <w:rsid w:val="00EA30C6"/>
    <w:rsid w:val="00EB2779"/>
    <w:rsid w:val="00EB2C71"/>
    <w:rsid w:val="00EB4FF8"/>
    <w:rsid w:val="00EC6B31"/>
    <w:rsid w:val="00ED18F9"/>
    <w:rsid w:val="00ED53C9"/>
    <w:rsid w:val="00ED577E"/>
    <w:rsid w:val="00EE197A"/>
    <w:rsid w:val="00EE7DA3"/>
    <w:rsid w:val="00EF3B11"/>
    <w:rsid w:val="00F1662D"/>
    <w:rsid w:val="00F27F85"/>
    <w:rsid w:val="00F303E9"/>
    <w:rsid w:val="00F3099C"/>
    <w:rsid w:val="00F35F4F"/>
    <w:rsid w:val="00F35FD3"/>
    <w:rsid w:val="00F46FC3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25B3"/>
    <w:rsid w:val="00FC415A"/>
    <w:rsid w:val="00FC6098"/>
    <w:rsid w:val="00FD20DE"/>
    <w:rsid w:val="2E52F5EF"/>
    <w:rsid w:val="3CDED5D2"/>
    <w:rsid w:val="3FDF9E96"/>
    <w:rsid w:val="8FFE6A2E"/>
    <w:rsid w:val="BD3C87DF"/>
    <w:rsid w:val="E55E50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39"/>
    <w:qFormat/>
    <w:uiPriority w:val="0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40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41"/>
    <w:qFormat/>
    <w:uiPriority w:val="0"/>
    <w:pPr>
      <w:keepNext/>
      <w:widowControl w:val="0"/>
      <w:snapToGrid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42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43"/>
    <w:qFormat/>
    <w:uiPriority w:val="0"/>
    <w:pPr>
      <w:keepNext/>
      <w:widowControl w:val="0"/>
      <w:snapToGrid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44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45"/>
    <w:qFormat/>
    <w:uiPriority w:val="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46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qFormat/>
    <w:uiPriority w:val="0"/>
    <w:rPr>
      <w:color w:val="800080"/>
      <w:u w:val="single"/>
    </w:rPr>
  </w:style>
  <w:style w:type="character" w:styleId="14">
    <w:name w:val="footnote reference"/>
    <w:qFormat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qFormat/>
    <w:uiPriority w:val="0"/>
    <w:rPr>
      <w:sz w:val="16"/>
      <w:szCs w:val="16"/>
    </w:rPr>
  </w:style>
  <w:style w:type="character" w:styleId="16">
    <w:name w:val="Hyperlink"/>
    <w:qFormat/>
    <w:uiPriority w:val="99"/>
    <w:rPr>
      <w:color w:val="0000FF"/>
      <w:u w:val="single"/>
    </w:rPr>
  </w:style>
  <w:style w:type="character" w:styleId="17">
    <w:name w:val="page number"/>
    <w:qFormat/>
    <w:uiPriority w:val="0"/>
    <w:rPr>
      <w:rFonts w:ascii="Arial" w:hAnsi="Arial"/>
      <w:sz w:val="16"/>
    </w:rPr>
  </w:style>
  <w:style w:type="paragraph" w:styleId="18">
    <w:name w:val="Balloon Text"/>
    <w:basedOn w:val="1"/>
    <w:link w:val="37"/>
    <w:unhideWhenUsed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9">
    <w:name w:val="Body Text 2"/>
    <w:basedOn w:val="1"/>
    <w:link w:val="54"/>
    <w:semiHidden/>
    <w:qFormat/>
    <w:uiPriority w:val="0"/>
    <w:pPr>
      <w:widowControl w:val="0"/>
      <w:suppressAutoHyphens/>
      <w:snapToGrid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0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21">
    <w:name w:val="annotation text"/>
    <w:basedOn w:val="1"/>
    <w:link w:val="77"/>
    <w:semiHidden/>
    <w:unhideWhenUsed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2">
    <w:name w:val="annotation subject"/>
    <w:basedOn w:val="21"/>
    <w:next w:val="21"/>
    <w:link w:val="78"/>
    <w:semiHidden/>
    <w:unhideWhenUsed/>
    <w:qFormat/>
    <w:uiPriority w:val="0"/>
    <w:rPr>
      <w:b/>
      <w:bCs/>
    </w:rPr>
  </w:style>
  <w:style w:type="paragraph" w:styleId="23">
    <w:name w:val="footnote text"/>
    <w:basedOn w:val="1"/>
    <w:link w:val="57"/>
    <w:qFormat/>
    <w:uiPriority w:val="0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4">
    <w:name w:val="header"/>
    <w:basedOn w:val="1"/>
    <w:link w:val="3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5">
    <w:name w:val="Body Text"/>
    <w:basedOn w:val="1"/>
    <w:link w:val="52"/>
    <w:semiHidden/>
    <w:qFormat/>
    <w:uiPriority w:val="0"/>
    <w:pPr>
      <w:widowControl w:val="0"/>
      <w:snapToGrid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26">
    <w:name w:val="toc 1"/>
    <w:basedOn w:val="1"/>
    <w:next w:val="1"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27">
    <w:name w:val="toc 3"/>
    <w:basedOn w:val="1"/>
    <w:next w:val="1"/>
    <w:unhideWhenUsed/>
    <w:qFormat/>
    <w:uiPriority w:val="39"/>
    <w:pPr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28">
    <w:name w:val="toc 2"/>
    <w:basedOn w:val="1"/>
    <w:next w:val="1"/>
    <w:qFormat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9">
    <w:name w:val="footer"/>
    <w:basedOn w:val="1"/>
    <w:link w:val="3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Body Text Indent 2"/>
    <w:basedOn w:val="1"/>
    <w:link w:val="53"/>
    <w:semiHidden/>
    <w:qFormat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table" w:styleId="31">
    <w:name w:val="Table Grid"/>
    <w:basedOn w:val="12"/>
    <w:qFormat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2">
    <w:name w:val="Верхний колонтитул Знак"/>
    <w:basedOn w:val="11"/>
    <w:link w:val="24"/>
    <w:qFormat/>
    <w:uiPriority w:val="99"/>
  </w:style>
  <w:style w:type="character" w:customStyle="1" w:styleId="33">
    <w:name w:val="Нижний колонтитул Знак"/>
    <w:basedOn w:val="11"/>
    <w:link w:val="29"/>
    <w:qFormat/>
    <w:uiPriority w:val="99"/>
  </w:style>
  <w:style w:type="paragraph" w:styleId="34">
    <w:name w:val="No Spacing"/>
    <w:link w:val="35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5">
    <w:name w:val="Без интервала Знак"/>
    <w:basedOn w:val="11"/>
    <w:link w:val="34"/>
    <w:qFormat/>
    <w:uiPriority w:val="1"/>
    <w:rPr>
      <w:rFonts w:eastAsiaTheme="minorEastAsia"/>
      <w:lang w:eastAsia="ru-RU"/>
    </w:rPr>
  </w:style>
  <w:style w:type="character" w:styleId="36">
    <w:name w:val="Placeholder Text"/>
    <w:basedOn w:val="11"/>
    <w:semiHidden/>
    <w:qFormat/>
    <w:uiPriority w:val="99"/>
    <w:rPr>
      <w:color w:val="808080"/>
    </w:rPr>
  </w:style>
  <w:style w:type="character" w:customStyle="1" w:styleId="37">
    <w:name w:val="Текст выноски Знак"/>
    <w:basedOn w:val="11"/>
    <w:link w:val="18"/>
    <w:qFormat/>
    <w:uiPriority w:val="0"/>
    <w:rPr>
      <w:rFonts w:ascii="Tahoma" w:hAnsi="Tahoma" w:cs="Tahoma"/>
      <w:sz w:val="16"/>
      <w:szCs w:val="16"/>
    </w:rPr>
  </w:style>
  <w:style w:type="character" w:customStyle="1" w:styleId="38">
    <w:name w:val="Заголовок 1 Знак"/>
    <w:basedOn w:val="11"/>
    <w:link w:val="2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39">
    <w:name w:val="Заголовок 2 Знак"/>
    <w:basedOn w:val="11"/>
    <w:link w:val="3"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40">
    <w:name w:val="Заголовок 3 Знак"/>
    <w:basedOn w:val="11"/>
    <w:link w:val="4"/>
    <w:qFormat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41">
    <w:name w:val="Заголовок 4 Знак"/>
    <w:basedOn w:val="11"/>
    <w:link w:val="5"/>
    <w:qFormat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42">
    <w:name w:val="Заголовок 5 Знак"/>
    <w:basedOn w:val="11"/>
    <w:link w:val="6"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43">
    <w:name w:val="Заголовок 6 Знак"/>
    <w:basedOn w:val="11"/>
    <w:link w:val="7"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44">
    <w:name w:val="Заголовок 7 Знак"/>
    <w:basedOn w:val="11"/>
    <w:link w:val="8"/>
    <w:qFormat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45">
    <w:name w:val="Заголовок 8 Знак"/>
    <w:basedOn w:val="11"/>
    <w:link w:val="9"/>
    <w:qFormat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46">
    <w:name w:val="Заголовок 9 Знак"/>
    <w:basedOn w:val="11"/>
    <w:link w:val="10"/>
    <w:qFormat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customStyle="1" w:styleId="47">
    <w:name w:val="numbered list"/>
    <w:basedOn w:val="48"/>
    <w:qFormat/>
    <w:uiPriority w:val="0"/>
    <w:pPr>
      <w:tabs>
        <w:tab w:val="left" w:pos="360"/>
      </w:tabs>
    </w:pPr>
  </w:style>
  <w:style w:type="paragraph" w:customStyle="1" w:styleId="48">
    <w:name w:val="bullet"/>
    <w:basedOn w:val="1"/>
    <w:qFormat/>
    <w:uiPriority w:val="0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customStyle="1" w:styleId="49">
    <w:name w:val="Doc subtitle1"/>
    <w:basedOn w:val="1"/>
    <w:link w:val="56"/>
    <w:qFormat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0">
    <w:name w:val="Doc subtitle2"/>
    <w:basedOn w:val="1"/>
    <w:qFormat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51">
    <w:name w:val="Doc title"/>
    <w:basedOn w:val="1"/>
    <w:qFormat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52">
    <w:name w:val="Основной текст Знак"/>
    <w:basedOn w:val="11"/>
    <w:link w:val="25"/>
    <w:semiHidden/>
    <w:qFormat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3">
    <w:name w:val="Основной текст с отступом 2 Знак"/>
    <w:basedOn w:val="11"/>
    <w:link w:val="30"/>
    <w:semiHidden/>
    <w:qFormat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4">
    <w:name w:val="Основной текст 2 Знак"/>
    <w:basedOn w:val="11"/>
    <w:link w:val="19"/>
    <w:semiHidden/>
    <w:qFormat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55">
    <w:name w:val="Абзац списка1"/>
    <w:basedOn w:val="1"/>
    <w:qFormat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56">
    <w:name w:val="Doc subtitle1 Char"/>
    <w:link w:val="49"/>
    <w:qFormat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57">
    <w:name w:val="Текст сноски Знак"/>
    <w:basedOn w:val="11"/>
    <w:link w:val="23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58">
    <w:name w:val="цветной текст"/>
    <w:basedOn w:val="1"/>
    <w:qFormat/>
    <w:uiPriority w:val="0"/>
    <w:pPr>
      <w:numPr>
        <w:ilvl w:val="0"/>
        <w:numId w:val="2"/>
      </w:numPr>
      <w:spacing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59">
    <w:name w:val="538552DCBB0F4C4BB087ED922D6A6322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60">
    <w:name w:val="выделение цвет"/>
    <w:basedOn w:val="1"/>
    <w:link w:val="71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61">
    <w:name w:val="цвет в таблице"/>
    <w:qFormat/>
    <w:uiPriority w:val="0"/>
    <w:rPr>
      <w:color w:val="2C8DE6"/>
    </w:rPr>
  </w:style>
  <w:style w:type="paragraph" w:customStyle="1" w:styleId="62">
    <w:name w:val="TOC Heading"/>
    <w:basedOn w:val="2"/>
    <w:next w:val="1"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63">
    <w:name w:val="!Заголовок-1"/>
    <w:basedOn w:val="2"/>
    <w:link w:val="65"/>
    <w:qFormat/>
    <w:uiPriority w:val="0"/>
    <w:rPr>
      <w:lang w:val="ru-RU"/>
    </w:rPr>
  </w:style>
  <w:style w:type="paragraph" w:customStyle="1" w:styleId="64">
    <w:name w:val="!заголовок-2"/>
    <w:basedOn w:val="3"/>
    <w:link w:val="67"/>
    <w:qFormat/>
    <w:uiPriority w:val="0"/>
    <w:rPr>
      <w:lang w:val="ru-RU"/>
    </w:rPr>
  </w:style>
  <w:style w:type="character" w:customStyle="1" w:styleId="65">
    <w:name w:val="!Заголовок-1 Знак"/>
    <w:link w:val="63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66">
    <w:name w:val="!Текст"/>
    <w:basedOn w:val="1"/>
    <w:link w:val="69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67">
    <w:name w:val="!заголовок-2 Знак"/>
    <w:link w:val="64"/>
    <w:qFormat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68">
    <w:name w:val="!Синий заголовок текста"/>
    <w:basedOn w:val="60"/>
    <w:link w:val="72"/>
    <w:qFormat/>
    <w:uiPriority w:val="0"/>
  </w:style>
  <w:style w:type="character" w:customStyle="1" w:styleId="69">
    <w:name w:val="!Текст Знак"/>
    <w:link w:val="66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0">
    <w:name w:val="!Список с точками"/>
    <w:basedOn w:val="1"/>
    <w:link w:val="74"/>
    <w:qFormat/>
    <w:uiPriority w:val="0"/>
    <w:pPr>
      <w:numPr>
        <w:ilvl w:val="0"/>
        <w:numId w:val="3"/>
      </w:num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1">
    <w:name w:val="выделение цвет Знак"/>
    <w:link w:val="60"/>
    <w:qFormat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72">
    <w:name w:val="!Синий заголовок текста Знак"/>
    <w:link w:val="68"/>
    <w:qFormat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7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4">
    <w:name w:val="!Список с точками Знак"/>
    <w:link w:val="70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5">
    <w:name w:val="Базовый"/>
    <w:qFormat/>
    <w:uiPriority w:val="0"/>
    <w:pPr>
      <w:suppressAutoHyphens/>
      <w:spacing w:after="200" w:line="276" w:lineRule="auto"/>
    </w:pPr>
    <w:rPr>
      <w:rFonts w:ascii="Times New Roman" w:hAnsi="Times New Roman" w:eastAsia="DejaVu Sans" w:cs="Times New Roman"/>
      <w:sz w:val="24"/>
      <w:szCs w:val="24"/>
      <w:lang w:val="ru-RU" w:eastAsia="en-US" w:bidi="ar-SA"/>
    </w:rPr>
  </w:style>
  <w:style w:type="character" w:customStyle="1" w:styleId="76">
    <w:name w:val="Интернет-ссылка"/>
    <w:qFormat/>
    <w:uiPriority w:val="0"/>
    <w:rPr>
      <w:color w:val="0000FF"/>
      <w:u w:val="single"/>
      <w:lang w:val="ru-RU" w:eastAsia="ru-RU" w:bidi="ru-RU"/>
    </w:rPr>
  </w:style>
  <w:style w:type="character" w:customStyle="1" w:styleId="77">
    <w:name w:val="Текст примечания Знак"/>
    <w:basedOn w:val="11"/>
    <w:link w:val="21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8">
    <w:name w:val="Тема примечания Знак"/>
    <w:basedOn w:val="77"/>
    <w:link w:val="22"/>
    <w:semiHidden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79">
    <w:name w:val="Lista Black"/>
    <w:basedOn w:val="25"/>
    <w:qFormat/>
    <w:uiPriority w:val="1"/>
    <w:pPr>
      <w:keepNext/>
      <w:numPr>
        <w:ilvl w:val="0"/>
        <w:numId w:val="4"/>
      </w:numPr>
      <w:snapToGrid/>
      <w:spacing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80">
    <w:name w:val="Основной текст (14)_"/>
    <w:basedOn w:val="11"/>
    <w:link w:val="81"/>
    <w:qFormat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81">
    <w:name w:val="Основной текст (14)_3"/>
    <w:basedOn w:val="1"/>
    <w:link w:val="80"/>
    <w:qFormat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82">
    <w:name w:val="Неразрешенное упоминание1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3">
    <w:name w:val="Неразрешенное упоминание2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84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3793</Words>
  <Characters>21624</Characters>
  <Lines>180</Lines>
  <Paragraphs>50</Paragraphs>
  <TotalTime>37</TotalTime>
  <ScaleCrop>false</ScaleCrop>
  <LinksUpToDate>false</LinksUpToDate>
  <CharactersWithSpaces>25367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2024-12-06T13:24:00Z</dcterms:created>
  <dc:creator>Copyright ©«Ворлдскиллс Россия» (Экспедирование грузов)</dc:creator>
  <cp:lastModifiedBy>user</cp:lastModifiedBy>
  <dcterms:modified xsi:type="dcterms:W3CDTF">2026-01-23T16:29:56Z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