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40"/>
        <w:rPr>
          <w:rFonts w:eastAsia="Times New Roman" w:cs="Times New Roman"/>
          <w:color w:val="000000"/>
          <w:sz w:val="52"/>
          <w:szCs w:val="52"/>
        </w:rPr>
      </w:pPr>
      <w:r>
        <w:rPr/>
        <w:drawing>
          <wp:inline distT="0" distB="0" distL="0" distR="0">
            <wp:extent cx="3556635" cy="137160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«Спасательные работы»</w:t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i/>
          <w:color w:val="000000"/>
          <w:sz w:val="36"/>
          <w:szCs w:val="36"/>
        </w:rPr>
        <w:t>Регионального этапа</w:t>
      </w:r>
      <w:r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none"/>
        </w:rPr>
        <w:t>в Кемеровской области-Кузбассе</w:t>
      </w:r>
    </w:p>
    <w:p>
      <w:pPr>
        <w:pStyle w:val="Normal"/>
        <w:pBdr/>
        <w:spacing w:lineRule="auto" w:line="240"/>
        <w:jc w:val="center"/>
        <w:rPr>
          <w:u w:val="none"/>
        </w:rPr>
      </w:pPr>
      <w:r>
        <w:rPr>
          <w:u w:val="none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2026 г.</w:t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keepNext w:val="true"/>
        <w:keepLines/>
        <w:pBdr/>
        <w:spacing w:lineRule="auto" w:line="48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sz w:val="28"/>
              <w:u w:val="single"/>
              <w:szCs w:val="28"/>
              <w:rFonts w:eastAsia="Times New Roman" w:cs="Times New Roman"/>
              <w:color w:val="0000FF"/>
            </w:rPr>
            <w:instrText xml:space="preserve"> TOC \z \o "1-9" \u \h</w:instrText>
          </w:r>
          <w:r>
            <w:rPr>
              <w:sz w:val="28"/>
              <w:u w:val="single"/>
              <w:szCs w:val="28"/>
              <w:rFonts w:eastAsia="Times New Roman" w:cs="Times New Roman"/>
              <w:color w:val="0000FF"/>
            </w:rP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1. Область применения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  <w:t>3</w:t>
          </w:r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2. Нормативные ссылки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  <w:t>3</w:t>
          </w:r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3. Общие требования охраны труда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  <w:t>3</w:t>
          </w:r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4. Требования охраны труда перед началом работы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  <w:t>6</w:t>
          </w:r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5. Требования охраны труда во время работы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  <w:t>7</w:t>
          </w:r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6. Требования охраны труда в аварийных ситуациях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  <w:t>9</w:t>
          </w:r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7. Требования охраны труда по окончании работы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  <w:t>10</w:t>
          </w:r>
          <w:r>
            <w:rPr>
              <w:sz w:val="28"/>
              <w:szCs w:val="28"/>
              <w:rFonts w:eastAsia="Times New Roman" w:cs="Times New Roman"/>
              <w:color w:val="000000"/>
            </w:rPr>
            <w:fldChar w:fldCharType="end"/>
          </w:r>
        </w:p>
      </w:sdtContent>
    </w:sdt>
    <w:p>
      <w:pPr>
        <w:pStyle w:val="Normal"/>
        <w:pBdr/>
        <w:spacing w:lineRule="auto" w:line="36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keepNext w:val="true"/>
        <w:keepLines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</w:r>
      <w:bookmarkStart w:id="0" w:name="_heading=h.gjdgxs"/>
      <w:bookmarkStart w:id="1" w:name="_heading=h.gjdgxs"/>
      <w:bookmarkEnd w:id="1"/>
      <w:r>
        <w:br w:type="page"/>
      </w:r>
    </w:p>
    <w:p>
      <w:pPr>
        <w:pStyle w:val="ListParagraph"/>
        <w:pBdr/>
        <w:spacing w:lineRule="auto" w:line="360" w:before="0" w:after="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при выполнении аварийно-спасательных работ, неотложных работ при ликвидации чрезвычайных ситуаций, спасение людей и оказание первой помощи пострадавшим и предназначена для участников Чемпионата по профессиональному мастерству «Профессионал».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по профессиональному мастерству «Профессионал» (далее Чемпионат) компетенции «Спасательные работы».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 Нормативные ссылки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(2018г. изменения / дополнения).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 ФЗ № 273 от 29.12.2012 "Об образовании в Российской Федерации".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 ФГОС СПО 20.02.02 «Защита в ЧС».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2.1.4 Приказ Министерства труда и социальной защиты РФ от 18.10.2023 г. №766н "Об утверждении профессионального стандарта "Спасатель"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Национальный стандарт Российской Федерации «Безопасность в ЧС» - Инструмент аварийно-спасательный гидравлический» 2014 г. ГОСТ 22.9.18-2023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2.1.6 Приказ Минтруда России от 16.11.2020 N 782н (ред. от 29.04.2025) "Об утверждении Правил по охране труда при работе на высоте" (Зарегистрировано в Минюсте России 15.12.2020 N 61477).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2.1.7 Приказ МЧС России от 16.09.2024 N 777 "Об утверждении Боевого устава подразделений пожарной охраны, определяющего порядок организации тушения пожаров и проведения аварийно-спасательных работ" (Зарегистрировано в Минюсте России 12.11.2024 N 80117)».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2.1.8 Приказ Минтруда России от 29.10.2021 N 766н "Об утверждении Правил обеспечения работников средствами индивидуальной защиты и смывающими средствами" (Зарегистрировано в Минюсте России 29.12.2021 N 66670)».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2.1.9 Приказ Министерства труда и социальной защиты РФ от 27.11.2020 № 835н «Об утверждении правил по охране труда при работе с инструментом и приспособлениями».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самостоятельной работе по выполнению АСДНР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об обучении (или работе) в образовательной организации (или на производстве), имеющие профессиональные навыки по проведению АСДНР, эксплуатации инструмента, приспособлений, совместной работы на оборудовании.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 Участник Чемпионата обязан: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3.2.3 Соблюдать требования охраны труда.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3.2.5 Применять безопасные методы и приёмы выполнения работ и оказания первой помощи, инструктаж по охране труда.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 При выполнении АСДНР на участника Чемпионата возможны воздействия следующих опасных и вредных производственных факторов: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 Возрастная категория 14 – 16 лет: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падение с высоты;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падения во время преодоления препятствий;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воздействие электрического тока;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физическая нагрузка.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3.3.2 Возрастная категория 16 – 22 года: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падение с высоты;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падения во время преодоления препятствий;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-воздействие повышенного давления рабочей жидкости гидравлического аварийно-спасательного инструмента;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воздействие повышенного давления огнетушащего вещества;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воздействие открытого огня;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воздействие электрического тока;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физическая, нервно-психическая нагрузки;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-воздействие горюче-смазочных материалов на кожные покровы и органы дыхания;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воздействие огнетушащего порошкового вещества на органы дыхания.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Костюм МЧС или ХБ защитного цвета (либо комбинезон спасателя;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Боевая одежда пожарного (комплект);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Подшлемник;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Перчатки медицинские латексные;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Шлем пожарного;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Перчатки ХБ с ПВХ;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Перчатки спилковые;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Перчатки пожарного (с крагой) пятипалые;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Каска альпинистская;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Очки спасателя;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Спец обувь (Берцы);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 При выполнении конкурсного задания конкурсант должен знать: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Устройство, принцип действия, правила и безопасные приемы эксплуатации пожарной, аварийно-спасательной техники и оборудования;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Принципы организации и порядок ведения спасательных работ при различных ЧС;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Способы поиска, извлечения и транспортировки, </w:t>
      </w:r>
      <w:bookmarkStart w:id="3" w:name="_GoBack"/>
      <w:bookmarkEnd w:id="3"/>
      <w:r>
        <w:rPr>
          <w:rFonts w:eastAsia="Times New Roman" w:cs="Times New Roman"/>
          <w:color w:val="000000"/>
          <w:sz w:val="28"/>
          <w:szCs w:val="28"/>
        </w:rPr>
        <w:t>пострадавших в различных условиях;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Назначение и применение слесарного и электротехнического инструмента;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Способы и порядок оказания первой помощи, правила пользования медицинским материалом и изделиями, признаки, алгоритмы помощи при острых стрессовых реакциях;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Технологию проведения разведки на наличие очагов пожара, химического, радиоактивного, бактериологического заражения, отравляющих веществ;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Технологию стабилизации разрушенных конструкций;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Алгоритм ликвидации последствий ДТП;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Условия прекращения горения материалов;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Организацию и ведение действий по тушению пожаров;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Методы и способы безопасной работы на высоте.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В случаях травмирования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Лица, не соблюдающие настоящие Правила, привлекаются к ответственности согласно действующему законодательству.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аварийно-спасательных работ, неотложных работ при ликвидации чрезвычайных ситуаций, спасения людей и оказание первой помощи пострадавшим работник обязан: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Надеть спецодежду, Спецобувь установленного образца;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Подготовить необходимые средства индивидуальной защиты;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Подготовить инструмент, оборудование и технологическую оснастку, необходимые при выполнении работ, проверить их исправность и соответствие требованиям безопасности;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Участник не должны приступать к работе при следующих нарушениях требований безопасности: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Отсутствии или некомплектности средств индивидуальной защиты;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Наличии инструмента или оборудования не входящего в инфраструктурный лист Чемпионата или личный инструмент конкурсанта;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вышестоящему руководству и до устранения неполадок к конкурсному заданию не приступать.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участнику необходимо соблюдать требования безопасности при использовании инструмента и оборудования.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5.1.1 Гидравлический аварийно-спасательный инструмент – работа производится в соответствующих средствах индивидуальной защиты. Инструмент используется согласно технической документации. Во время работы отслеживается герметичность рукавов инструмента и источников энергии, механические повреждения, появившиеся в процессе работы.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5.1.2 Ручной немеханизированный аварийно-спасательный инструмент - работа производится в соответствующих средствах индивидуальной защиты. Инструмент используется согласно технической документации.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5.1.3 Механизированный аварийно- спасательный инструмент - работа производится в соответствующих средствах индивидуальной защиты. Инструмент используется согласно технической документации. При включенном двигателе запрещается регулировать инструмент и устранять неисправности.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5.1.4 Пожарно-техническое вооружение - работа производится в соответствующих средствах индивидуальной защиты. Оборудование используется согласно технической документации. При подаче давления в рукавные линии все элементы должны плотно соединены между собой. Во время работы отслеживается герметичность и целостность оборудования.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5.1.5 Первичные средства пожаротушения (огнетушитель) - работа производится в соответствующих средствах индивидуальной защиты. Оборудование используется согласно технической документации. Во время осмотров необходимо проверять состояние манометра, целостность пломбы и бирки. Запрещено использовать огнетушители с неисправными узлами, глубокими вмятинами и коррозией на корпусе.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5.1.6 Альпинистское снаряжение и оборудование – работа производится в соответствующих средствах индивидуальной защиты. Оборудование используется согласно технической документации. При и работе переноске снаряжения и оборудования убедиться, что веревки, петли, обвязки и другие текстильные элементы защищены от контакта с острыми гранями.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5.1.7 Электронные тренажёры и манекены – запрещено производить манипуляции с источниками питания и управления электронными тренажёрами, продолжать работы при выявлении разрушений частей корпуса, возможности прямого контакта с блоками управления и кабелями.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5.1.8 Тренажёрное оборудование – работы ведутся согласно паспорту производителя. Работы по: распиливанию, разрезанию производятся в специально отведённых местах. Все элементы и узлы крепления и стыковки должны быть затянуты, не иметь конструктивных повреждений.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 При выходе из строя инструмента или оборудования необходимо прекратить выполнение конкурсного задания и сообщить об этом вышестоящему руководству.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руководителя работ.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неисправности в работе устройств, (повышенном их нагреве, появления искрения, запаха гари, задымления и т.д.), участнику следует немедленно сообщить о случившемся руководителю работ. Выполнение конкурсного задания продолжить только после устранения возникшей неисправности.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 В случае возникновения пожара: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6.4.1 Оповестить всех участников Чемпионата, находящихся в помещении и принять меры к тушению очага пожара.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6.4.2 Принять меры к вызову на место пожара непосредственного руководителя или других должностных лиц.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6.4.3 При наступлении признаков удушья лечь на пол и как можно быстрее ползти в сторону эвакуационного выхода.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При возгорании одежды попытаться сбросить ее. Если это сделать не удается, упасть на пол и, перекатываясь, сбить пламя,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 При обнаружении взрывоопасного или подозрительного предмета нельзя подходить к нему близко, необходимо предупредить о возможной опасности непосредственного руководителя или других должностных лиц.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участник обязан: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Привести в порядок рабочее место, собрать инструмент и убрать в отведенные для его хранения места;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Снять и убрать спецодежду, средства индивидуальной защиты в предназначенные для хранения места;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Вымыть руки с мылом и при необходимости принять душ;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Сообщить лицу, ответственному за выполнение работ о всех недостатках, замеченных во время работы, и принятых мерах по их устранению.</w:t>
      </w:r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418" w:right="567" w:gutter="0" w:header="0" w:top="851" w:footer="708" w:bottom="851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swiss"/>
    <w:pitch w:val="variable"/>
  </w:font>
  <w:font w:name="Open Sans">
    <w:charset w:val="01"/>
    <w:family w:val="swiss"/>
    <w:pitch w:val="variable"/>
  </w:font>
  <w:font w:name="Georg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/>
      <w:jc w:val="right"/>
      <w:rPr>
        <w:rFonts w:ascii="Calibri" w:hAnsi="Calibri"/>
        <w:color w:val="000000"/>
        <w:sz w:val="22"/>
        <w:szCs w:val="22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10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</w:r>
  </w:p>
</w:ftr>
</file>

<file path=word/settings.xml><?xml version="1.0" encoding="utf-8"?>
<w:settings xmlns:w="http://schemas.openxmlformats.org/wordprocessingml/2006/main">
  <w:zoom w:percent="8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tLeast" w:line="1" w:before="0" w:after="0"/>
      <w:jc w:val="left"/>
      <w:outlineLvl w:val="0"/>
    </w:pPr>
    <w:rPr>
      <w:rFonts w:ascii="Times New Roman" w:hAnsi="Times New Roman" w:eastAsia="Calibri" w:cs="Calibri"/>
      <w:color w:val="auto"/>
      <w:kern w:val="0"/>
      <w:position w:val="-1"/>
      <w:sz w:val="24"/>
      <w:szCs w:val="24"/>
      <w:lang w:eastAsia="ru-RU" w:val="ru-RU" w:bidi="ar-SA"/>
    </w:rPr>
  </w:style>
  <w:style w:type="paragraph" w:styleId="Heading1">
    <w:name w:val="heading 1"/>
    <w:basedOn w:val="Normal"/>
    <w:next w:val="Normal"/>
    <w:link w:val="11"/>
    <w:qFormat/>
    <w:pPr>
      <w:keepNext w:val="true"/>
      <w:keepLines/>
      <w:spacing w:lineRule="auto" w:line="276" w:before="480" w:after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21"/>
    <w:qFormat/>
    <w:pPr>
      <w:keepNext w:val="true"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4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5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6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11" w:customStyle="1">
    <w:name w:val="Заголовок 1 Знак1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1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1" w:customStyle="1">
    <w:name w:val="Верхний колонтитул Знак1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12" w:customStyle="1">
    <w:name w:val="Нижний колонтитул Знак1"/>
    <w:uiPriority w:val="99"/>
    <w:qFormat/>
    <w:rPr/>
  </w:style>
  <w:style w:type="character" w:styleId="Hyperlink">
    <w:name w:val="Hyperlink"/>
    <w:qFormat/>
    <w:rPr>
      <w:color w:val="0000FF"/>
      <w:position w:val="0"/>
      <w:sz w:val="20"/>
      <w:u w:val="single"/>
      <w:vertAlign w:val="baseline"/>
    </w:rPr>
  </w:style>
  <w:style w:type="character" w:styleId="13" w:customStyle="1">
    <w:name w:val="Текст сноски Знак1"/>
    <w:uiPriority w:val="99"/>
    <w:qFormat/>
    <w:rPr>
      <w:sz w:val="18"/>
    </w:rPr>
  </w:style>
  <w:style w:type="character" w:styleId="Style8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9" w:customStyle="1">
    <w:name w:val="Текст концевой сноски Знак"/>
    <w:uiPriority w:val="99"/>
    <w:qFormat/>
    <w:rPr>
      <w:sz w:val="20"/>
    </w:rPr>
  </w:style>
  <w:style w:type="character" w:styleId="Style1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1" w:customStyle="1">
    <w:name w:val="Текст выноски Знак"/>
    <w:qFormat/>
    <w:rPr>
      <w:rFonts w:ascii="Tahoma" w:hAnsi="Tahoma" w:cs="Tahoma"/>
      <w:position w:val="0"/>
      <w:sz w:val="16"/>
      <w:sz w:val="16"/>
      <w:szCs w:val="16"/>
      <w:vertAlign w:val="baseline"/>
      <w:lang w:eastAsia="ru-RU"/>
    </w:rPr>
  </w:style>
  <w:style w:type="character" w:styleId="apple-converted-space" w:customStyle="1">
    <w:name w:val="apple-converted-space"/>
    <w:basedOn w:val="DefaultParagraphFont"/>
    <w:qFormat/>
    <w:rPr>
      <w:position w:val="0"/>
      <w:sz w:val="20"/>
      <w:vertAlign w:val="baseline"/>
    </w:rPr>
  </w:style>
  <w:style w:type="character" w:styleId="Style12" w:customStyle="1">
    <w:name w:val="Верхний колонтитул Знак"/>
    <w:qFormat/>
    <w:rPr>
      <w:rFonts w:ascii="Calibri" w:hAnsi="Calibri"/>
      <w:position w:val="0"/>
      <w:sz w:val="22"/>
      <w:sz w:val="22"/>
      <w:szCs w:val="22"/>
      <w:vertAlign w:val="baseline"/>
      <w:lang w:val="ru-RU" w:eastAsia="ru-RU" w:bidi="ar-SA"/>
    </w:rPr>
  </w:style>
  <w:style w:type="character" w:styleId="Style13" w:customStyle="1">
    <w:name w:val="Нижний колонтитул Знак"/>
    <w:qFormat/>
    <w:rPr>
      <w:rFonts w:ascii="Calibri" w:hAnsi="Calibri"/>
      <w:position w:val="0"/>
      <w:sz w:val="22"/>
      <w:sz w:val="22"/>
      <w:szCs w:val="22"/>
      <w:vertAlign w:val="baseline"/>
      <w:lang w:val="ru-RU" w:eastAsia="ru-RU" w:bidi="ar-SA"/>
    </w:rPr>
  </w:style>
  <w:style w:type="character" w:styleId="14" w:customStyle="1">
    <w:name w:val="Заголовок 1 Знак"/>
    <w:qFormat/>
    <w:rPr>
      <w:rFonts w:ascii="Cambria" w:hAnsi="Cambria"/>
      <w:b/>
      <w:bCs/>
      <w:color w:val="365F91"/>
      <w:position w:val="0"/>
      <w:sz w:val="28"/>
      <w:sz w:val="28"/>
      <w:szCs w:val="28"/>
      <w:vertAlign w:val="baseline"/>
      <w:lang w:val="ru-RU" w:eastAsia="ru-RU" w:bidi="ar-SA"/>
    </w:rPr>
  </w:style>
  <w:style w:type="character" w:styleId="22" w:customStyle="1">
    <w:name w:val="Заголовок 2 Знак"/>
    <w:qFormat/>
    <w:rPr>
      <w:rFonts w:ascii="Cambria" w:hAnsi="Cambria" w:eastAsia="Times New Roman" w:cs="Times New Roman"/>
      <w:b/>
      <w:bCs/>
      <w:i/>
      <w:iCs/>
      <w:position w:val="0"/>
      <w:sz w:val="28"/>
      <w:sz w:val="28"/>
      <w:szCs w:val="28"/>
      <w:vertAlign w:val="baseline"/>
    </w:rPr>
  </w:style>
  <w:style w:type="character" w:styleId="Style14" w:customStyle="1">
    <w:name w:val="Текст сноски Знак"/>
    <w:qFormat/>
    <w:rPr>
      <w:rFonts w:ascii="Times New Roman" w:hAnsi="Times New Roman"/>
      <w:position w:val="0"/>
      <w:sz w:val="20"/>
      <w:vertAlign w:val="baseli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a7162a"/>
    <w:rPr>
      <w:sz w:val="16"/>
      <w:szCs w:val="16"/>
    </w:rPr>
  </w:style>
  <w:style w:type="character" w:styleId="Style15" w:customStyle="1">
    <w:name w:val="Текст примечания Знак"/>
    <w:basedOn w:val="DefaultParagraphFont"/>
    <w:uiPriority w:val="99"/>
    <w:semiHidden/>
    <w:qFormat/>
    <w:rsid w:val="00a7162a"/>
    <w:rPr>
      <w:rFonts w:ascii="Times New Roman" w:hAnsi="Times New Roman"/>
      <w:vertAlign w:val="subscript"/>
      <w:lang w:eastAsia="ru-RU"/>
    </w:rPr>
  </w:style>
  <w:style w:type="character" w:styleId="Style16" w:customStyle="1">
    <w:name w:val="Тема примечания Знак"/>
    <w:basedOn w:val="Style15"/>
    <w:link w:val="annotationsubject"/>
    <w:uiPriority w:val="99"/>
    <w:semiHidden/>
    <w:qFormat/>
    <w:rsid w:val="00a7162a"/>
    <w:rPr>
      <w:rFonts w:ascii="Times New Roman" w:hAnsi="Times New Roman"/>
      <w:b/>
      <w:bCs/>
      <w:vertAlign w:val="subscript"/>
      <w:lang w:eastAsia="ru-RU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18">
    <w:name w:val="Указатель"/>
    <w:basedOn w:val="Normal"/>
    <w:qFormat/>
    <w:pPr>
      <w:suppressLineNumbers/>
    </w:pPr>
    <w:rPr>
      <w:rFonts w:cs="Droid Sans"/>
    </w:rPr>
  </w:style>
  <w:style w:type="paragraph" w:styleId="NoSpacing">
    <w:name w:val="No Spacing"/>
    <w:qFormat/>
    <w:pPr>
      <w:widowControl/>
      <w:bidi w:val="0"/>
      <w:spacing w:lineRule="atLeast" w:line="1" w:before="0" w:after="0"/>
      <w:jc w:val="left"/>
      <w:outlineLvl w:val="0"/>
    </w:pPr>
    <w:rPr>
      <w:rFonts w:ascii="Times New Roman" w:hAnsi="Times New Roman" w:eastAsia="Calibri" w:cs="Calibri"/>
      <w:color w:val="auto"/>
      <w:kern w:val="0"/>
      <w:position w:val="-1"/>
      <w:sz w:val="24"/>
      <w:szCs w:val="24"/>
      <w:lang w:eastAsia="ru-RU" w:val="ru-RU" w:bidi="ar-SA"/>
    </w:rPr>
  </w:style>
  <w:style w:type="paragraph" w:styleId="Quote">
    <w:name w:val="Quote"/>
    <w:basedOn w:val="Normal"/>
    <w:next w:val="Normal"/>
    <w:link w:val="2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1"/>
    <w:qFormat/>
    <w:pPr>
      <w:tabs>
        <w:tab w:val="clear" w:pos="720"/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Footer">
    <w:name w:val="footer"/>
    <w:basedOn w:val="Normal"/>
    <w:link w:val="12"/>
    <w:qFormat/>
    <w:pPr>
      <w:tabs>
        <w:tab w:val="clear" w:pos="720"/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FootnoteText">
    <w:name w:val="footnote text"/>
    <w:basedOn w:val="Normal"/>
    <w:link w:val="13"/>
    <w:qFormat/>
    <w:pPr/>
    <w:rPr>
      <w:sz w:val="20"/>
      <w:szCs w:val="20"/>
    </w:rPr>
  </w:style>
  <w:style w:type="paragraph" w:styleId="EndnoteText">
    <w:name w:val="endnote text"/>
    <w:basedOn w:val="Normal"/>
    <w:link w:val="Style9"/>
    <w:uiPriority w:val="99"/>
    <w:semiHidden/>
    <w:unhideWhenUsed/>
    <w:pPr>
      <w:spacing w:lineRule="auto" w:line="240"/>
    </w:pPr>
    <w:rPr>
      <w:sz w:val="20"/>
    </w:rPr>
  </w:style>
  <w:style w:type="paragraph" w:styleId="TOC1">
    <w:name w:val="toc 1"/>
    <w:basedOn w:val="Normal"/>
    <w:next w:val="Normal"/>
    <w:qFormat/>
    <w:pPr/>
    <w:rPr/>
  </w:style>
  <w:style w:type="paragraph" w:styleId="TOC2">
    <w:name w:val="toc 2"/>
    <w:basedOn w:val="Normal"/>
    <w:next w:val="Normal"/>
    <w:qFormat/>
    <w:pPr>
      <w:ind w:left="240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7"/>
    <w:pPr/>
    <w:rPr/>
  </w:style>
  <w:style w:type="paragraph" w:styleId="TOCHeading">
    <w:name w:val="TOC Heading"/>
    <w:basedOn w:val="Heading1"/>
    <w:next w:val="Normal"/>
    <w:qFormat/>
    <w:pPr>
      <w:outlineLvl w:val="9"/>
    </w:pPr>
    <w:rPr>
      <w:rFonts w:eastAsia="Times New Roman" w:cs="Times New Roman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Title">
    <w:name w:val="Title"/>
    <w:basedOn w:val="Normal"/>
    <w:next w:val="Normal"/>
    <w:link w:val="Style5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qFormat/>
    <w:pPr>
      <w:ind w:left="720"/>
    </w:pPr>
    <w:rPr/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otekstj" w:customStyle="1">
    <w:name w:val="otekstj"/>
    <w:basedOn w:val="Normal"/>
    <w:qFormat/>
    <w:pPr>
      <w:spacing w:beforeAutospacing="1" w:afterAutospacing="1"/>
    </w:pPr>
    <w:rPr>
      <w:rFonts w:eastAsia="Times New Roman"/>
    </w:rPr>
  </w:style>
  <w:style w:type="paragraph" w:styleId="NormalWeb">
    <w:name w:val="Normal (Web)"/>
    <w:basedOn w:val="Normal"/>
    <w:qFormat/>
    <w:pPr>
      <w:spacing w:beforeAutospacing="1" w:afterAutospacing="1"/>
    </w:pPr>
    <w:rPr>
      <w:rFonts w:eastAsia="Times New Roman"/>
    </w:rPr>
  </w:style>
  <w:style w:type="paragraph" w:styleId="Subtitle">
    <w:name w:val="Subtitle"/>
    <w:basedOn w:val="Normal"/>
    <w:next w:val="Normal"/>
    <w:link w:val="Style6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Style15"/>
    <w:uiPriority w:val="99"/>
    <w:semiHidden/>
    <w:unhideWhenUsed/>
    <w:rsid w:val="00a7162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6"/>
    <w:uiPriority w:val="99"/>
    <w:semiHidden/>
    <w:unhideWhenUsed/>
    <w:qFormat/>
    <w:rsid w:val="00a7162a"/>
    <w:pPr/>
    <w:rPr>
      <w:b/>
      <w:bCs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qFormat/>
    <w:pPr>
      <w:spacing w:line="1" w:lineRule="atLeast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3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/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/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/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/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/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/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1"/>
    <w:qFormat/>
    <w:pPr>
      <w:spacing w:line="1" w:lineRule="atLeast"/>
    </w:pPr>
    <w:rPr>
      <w:lang w:eastAsia="en-US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Arial" pitchFamily="0" charset="1"/>
        <a:cs typeface="Arial" pitchFamily="0" charset="1"/>
      </a:majorFont>
      <a:minorFont>
        <a:latin typeface="Cambria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LibreOffice/24.8.4.1$Linux_X86_64 LibreOffice_project/480$Build-1</Application>
  <AppVersion>15.0000</AppVersion>
  <Pages>10</Pages>
  <Words>1549</Words>
  <Characters>11056</Characters>
  <CharactersWithSpaces>12500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2023-10-10T08:16:00Z</dcterms:created>
  <dc:creator>Наталья Петровна Овчинникова</dc:creator>
  <dc:description/>
  <dc:language>ru-RU</dc:language>
  <cp:lastModifiedBy/>
  <dcterms:modified xsi:type="dcterms:W3CDTF">2026-01-15T14:05:10Z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