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60.19pt;height:101.30pt;mso-wrap-distance-left:0.00pt;mso-wrap-distance-top:0.00pt;mso-wrap-distance-right:0.00pt;mso-wrap-distance-bottom:0.00pt;z-index:1;" stroked="false">
                <v:imagedata r:id="rId12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ПРОГРАММА ПРОВЕДЕНИЯ</w: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«Турагентская деятельность» </w:t>
      </w:r>
      <w:r>
        <w:rPr>
          <w:rFonts w:ascii="Times New Roman" w:hAnsi="Times New Roman" w:cs="Times New Roman"/>
          <w:b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по профессиональному мастерству «Профессионалы» в 2026 г.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проведения Кемеровская область – Кузбасс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br/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88"/>
        <w:tblW w:w="10485" w:type="dxa"/>
        <w:tblBorders/>
        <w:tblLook w:val="04A0" w:firstRow="1" w:lastRow="0" w:firstColumn="1" w:lastColumn="0" w:noHBand="0" w:noVBand="1"/>
      </w:tblPr>
      <w:tblGrid>
        <w:gridCol w:w="3145"/>
        <w:gridCol w:w="7340"/>
      </w:tblGrid>
      <w:tr>
        <w:trPr>
          <w:trHeight w:val="555"/>
        </w:trPr>
        <w:tc>
          <w:tcPr>
            <w:gridSpan w:val="2"/>
            <w:shd w:val="clear" w:color="auto" w:fill="9bdb7f"/>
            <w:tcBorders/>
            <w:tcW w:w="1048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Общая информация</w:t>
            </w:r>
            <w:r>
              <w:rPr>
                <w:b/>
                <w:sz w:val="24"/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Период проведения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734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09-13 февраля 2026 года</w:t>
            </w:r>
            <w:r>
              <w:rPr>
                <w:sz w:val="24"/>
                <w:szCs w:val="28"/>
              </w:rPr>
            </w:r>
          </w:p>
        </w:tc>
      </w:tr>
      <w:tr>
        <w:trPr/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Место проведения и адрес площадки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734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ГПОУ Кемеровский техникум индустрии питания и сферы услуг</w:t>
            </w:r>
            <w:r>
              <w:rPr>
                <w:sz w:val="24"/>
                <w:szCs w:val="28"/>
              </w:rPr>
            </w:r>
          </w:p>
          <w:p>
            <w:pPr>
              <w:pBdr/>
              <w:tabs>
                <w:tab w:val="left" w:leader="none" w:pos="1935"/>
              </w:tabs>
              <w:spacing/>
              <w:ind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г. Кемерово, ул. Радищева, д. 7</w:t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ФИО Главного эксперта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734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Голубева Александра Валентиновна</w:t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480"/>
        </w:trPr>
        <w:tc>
          <w:tcPr>
            <w:tcBorders/>
            <w:tcW w:w="3145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Контакты Главного эксперта</w:t>
            </w:r>
            <w:r>
              <w:rPr>
                <w:b/>
                <w:sz w:val="24"/>
                <w:szCs w:val="28"/>
              </w:rPr>
            </w:r>
          </w:p>
        </w:tc>
        <w:tc>
          <w:tcPr>
            <w:tcBorders/>
            <w:tcW w:w="7340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+7 961 711 63 18, </w:t>
            </w:r>
            <w:r>
              <w:rPr>
                <w:color w:val="000000"/>
                <w:sz w:val="24"/>
                <w:szCs w:val="24"/>
              </w:rPr>
              <w:t xml:space="preserve">aldravalent@g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mail</w:t>
            </w:r>
            <w:r>
              <w:rPr>
                <w:color w:val="000000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com</w:t>
            </w:r>
            <w:r>
              <w:rPr>
                <w:sz w:val="24"/>
                <w:szCs w:val="28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tbl>
      <w:tblPr>
        <w:tblStyle w:val="988"/>
        <w:tblW w:w="10456" w:type="dxa"/>
        <w:tblBorders/>
        <w:tblLook w:val="04A0" w:firstRow="1" w:lastRow="0" w:firstColumn="1" w:lastColumn="0" w:noHBand="0" w:noVBand="1"/>
      </w:tblPr>
      <w:tblGrid>
        <w:gridCol w:w="1838"/>
        <w:gridCol w:w="8618"/>
      </w:tblGrid>
      <w:tr>
        <w:trPr>
          <w:trHeight w:val="515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</w:t>
            </w:r>
            <w:r>
              <w:rPr>
                <w:b/>
                <w:sz w:val="24"/>
                <w:szCs w:val="28"/>
              </w:rPr>
              <w:t xml:space="preserve">2  /</w:t>
            </w:r>
            <w:r>
              <w:rPr>
                <w:b/>
                <w:sz w:val="24"/>
                <w:szCs w:val="28"/>
              </w:rPr>
              <w:t xml:space="preserve"> «09» февраля 2026 г.</w:t>
            </w:r>
            <w:r>
              <w:rPr>
                <w:b/>
                <w:sz w:val="24"/>
                <w:szCs w:val="28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Приёмка площадки главным экспертом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 экспертов, регистрация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и обучение экспертов: знакомство экспертов с площадкой; ознакомление экспертов с Программой Чемпионата; детальное знакомство с документацией чемпионата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Конкурсного задания, внесение в КЗ 30% изменений. Распределение ролей между экспертами. Знакомство со схемой оценки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протоколов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Завершение дня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Д-</w:t>
            </w:r>
            <w:r>
              <w:rPr>
                <w:b/>
                <w:sz w:val="24"/>
                <w:szCs w:val="28"/>
              </w:rPr>
              <w:t xml:space="preserve">1  /</w:t>
            </w:r>
            <w:r>
              <w:rPr>
                <w:b/>
                <w:sz w:val="24"/>
                <w:szCs w:val="28"/>
              </w:rPr>
              <w:t xml:space="preserve"> «10» </w:t>
            </w:r>
            <w:r>
              <w:rPr>
                <w:b/>
                <w:sz w:val="24"/>
                <w:szCs w:val="28"/>
              </w:rPr>
              <w:t xml:space="preserve">февраля  2026</w:t>
            </w:r>
            <w:r>
              <w:rPr>
                <w:b/>
                <w:sz w:val="24"/>
                <w:szCs w:val="28"/>
              </w:rPr>
              <w:t xml:space="preserve"> г.</w:t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278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Сбор, регистрация участников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52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и экспертов по охране труда и технике безопасности; знакомство конкурсантов с площадкой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конкурсантов с Конкурсным заданием. Жеребьевка рабочих мест и порядка выступлений конкурсантов. Знакомство конкурсантов с рабочими местами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13:45 – 14:15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14:15 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конкурсантов с рабочими местами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Подписание всех протоколов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8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Завершение дня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1  /</w:t>
            </w:r>
            <w:r>
              <w:rPr>
                <w:b/>
                <w:sz w:val="24"/>
                <w:szCs w:val="28"/>
              </w:rPr>
              <w:t xml:space="preserve"> «11» февраля 2026 г.</w:t>
            </w:r>
            <w:r>
              <w:rPr>
                <w:sz w:val="24"/>
                <w:szCs w:val="28"/>
              </w:rPr>
            </w:r>
          </w:p>
        </w:tc>
      </w:tr>
      <w:tr>
        <w:trPr>
          <w:trHeight w:val="198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площадки главным экспертом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Сбор, регистрация участников и экспертов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и экспертов по охране труда и технике безопасности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 А «Специфика работы туристской организации».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09:20 – 12:10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А «Специфика работы туристской организации» (2 часа 50 минут)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12:10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участников в брифинг-зону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12:20 – 13:10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материалов по модулю А (10 минут / конкурсант)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13:10 – 14:10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(свободное время)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14:10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 Б «Аттестация» турагента».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14:20 – 15:05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Б «Аттестация» турагента» (45 минут)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15:05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дня. Подписание протоколов. Приведение рабочих мест в порядок. Участники покидают площадку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15:20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экспертов по оценке модулей А, Б. Заполнение ведомостей оценки. Внесение результатов в ЦСО 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 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2  /</w:t>
            </w:r>
            <w:r>
              <w:rPr>
                <w:b/>
                <w:sz w:val="24"/>
                <w:szCs w:val="28"/>
              </w:rPr>
              <w:t xml:space="preserve"> «12» февраля 2026 г.</w:t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1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площадки главным экспертом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Сбор, регистрация участников и экспертов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и экспертов по охране труда и технике безопасности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08:45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</w:t>
            </w:r>
            <w:r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 xml:space="preserve">«Работа с клиентом в офисе турагентства».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09:00 – 09:50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В. Первый этап «Выявление потребностей клиента» (10 минут / конкурсант)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10:00 – 12:00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В. Второй этап «Подбор тура по запросу клиента» (2 часа)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участников в брифинг-зону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12:10 – 13:00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материалов по модулю В (10 минут / конкурсант)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 – 13:30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В. Третий этап «Оформление договора с туристом и бронирование заявки» (30 минут)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13:30 – 14:30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(свободное время)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 Г «Документооборот с туристом».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43"/>
        </w:trPr>
        <w:tc>
          <w:tcPr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14:35-14:50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Г «Документооборот с туристом». Первый этап «Работа с документацией» (15 минут)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43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14:50 - 16:35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Г «Документооборот с туристом». Второй этап «Подготовка презентации пакета документов по туру» (1 час 45 минут)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16:35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участников в брифинг-зону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16:45 – 17:35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материалов по модулю Г (10 минут / конкурсант)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17:35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/>
            <w:tcW w:w="861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дня. Подписание протоколов. Приведение рабочих мест в порядок. Участники покидают площадку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188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экспертов по оценке модулей В, Д. Заполнение ведомостей оценки. Внесение результатов в ЦСО 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276"/>
        </w:trPr>
        <w:tc>
          <w:tcPr>
            <w:shd w:val="clear" w:color="ffffff" w:fill="ffffff"/>
            <w:tcBorders/>
            <w:tcW w:w="183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20:00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/>
            <w:tcW w:w="8618" w:type="dxa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510"/>
        </w:trPr>
        <w:tc>
          <w:tcPr>
            <w:gridSpan w:val="2"/>
            <w:shd w:val="clear" w:color="auto" w:fill="bee7ab"/>
            <w:tcBorders/>
            <w:tcW w:w="10456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</w:t>
            </w:r>
            <w:r>
              <w:rPr>
                <w:b/>
                <w:sz w:val="24"/>
                <w:szCs w:val="28"/>
              </w:rPr>
              <w:t xml:space="preserve">3  /</w:t>
            </w:r>
            <w:r>
              <w:rPr>
                <w:b/>
                <w:sz w:val="24"/>
                <w:szCs w:val="28"/>
              </w:rPr>
              <w:t xml:space="preserve"> «</w:t>
            </w:r>
            <w:r>
              <w:rPr>
                <w:b/>
                <w:sz w:val="24"/>
                <w:szCs w:val="28"/>
              </w:rPr>
              <w:t xml:space="preserve">13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  <w:r>
              <w:rPr>
                <w:b/>
                <w:sz w:val="24"/>
                <w:szCs w:val="28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готовности площадки главным экспертом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Сбор, регистрация участников и экспертов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участников и экспертов по охране труда и технике безопасности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 Д «Организация нестандартного тура».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10:00 – 12:00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Д «Организация нестандартного тура» (2 часа)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 – 13:00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Обед (свободное время)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13:00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конкурсного задания по модулю Е «Специальное задание». Ознакомление с заданием. Вопросы главному эксперту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13:10 – 14:40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Задания по модулю Е «Специальное задание» (1 час 30 минут)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14:40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участников в брифинг-зону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14:50 – 15:30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Презентация материалов по модулю Е (7 минут / конкурсант)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Подведение итогов дня. Подписание протоколов. Приведение рабочих мест в порядок. Участники покидают площадку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15:45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экспертов по оценке модулей Г, Е. Заполнение ведомостей оценки. Внесение результатов в ЦСО</w:t>
            </w:r>
            <w:r>
              <w:rPr>
                <w:sz w:val="24"/>
                <w:szCs w:val="24"/>
              </w:rPr>
            </w:r>
          </w:p>
        </w:tc>
      </w:tr>
      <w:tr>
        <w:trPr>
          <w:trHeight w:val="70"/>
        </w:trPr>
        <w:tc>
          <w:tcPr>
            <w:tcBorders/>
            <w:tcW w:w="1838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18:30</w:t>
            </w:r>
            <w:r>
              <w:rPr>
                <w:sz w:val="24"/>
                <w:szCs w:val="24"/>
              </w:rPr>
            </w:r>
          </w:p>
        </w:tc>
        <w:tc>
          <w:tcPr>
            <w:tcBorders/>
            <w:tcW w:w="8618" w:type="dxa"/>
            <w:textDirection w:val="lrTb"/>
            <w:noWrap w:val="false"/>
          </w:tcPr>
          <w:p>
            <w:pPr>
              <w:pBdr/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Ужин</w:t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</w:r>
      <w:r>
        <w:rPr>
          <w:rFonts w:ascii="Times New Roman" w:hAnsi="Times New Roman" w:cs="Times New Roman"/>
          <w:sz w:val="24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720" w:right="720" w:bottom="720" w:left="720" w:header="624" w:footer="170" w:gutter="0"/>
      <w:pgNumType w:start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DejaVu Sans">
    <w:panose1 w:val="020B0603030804020204"/>
  </w:font>
  <w:font w:name="Noto Sans Symbols">
    <w:panose1 w:val="020B0502040504020204"/>
  </w:font>
  <w:font w:name="Cambria">
    <w:panose1 w:val="02040503050406030204"/>
  </w:font>
  <w:font w:name="Calibri">
    <w:panose1 w:val="020F0502020204030204"/>
  </w:font>
  <w:font w:name="FrutigerLTStd-Light">
    <w:panose1 w:val="05040102010807070707"/>
  </w:font>
  <w:font w:name="Tahoma">
    <w:panose1 w:val="020B0604030504040204"/>
  </w:font>
  <w:font w:name="Times New Roman">
    <w:panose1 w:val="020206030504050203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jc w:val="center"/>
      <w:tblBorders/>
      <w:tblCellMar>
        <w:left w:w="115" w:type="dxa"/>
        <w:top w:w="144" w:type="dxa"/>
        <w:right w:w="115" w:type="dxa"/>
        <w:bottom w:w="144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>
      <w:trPr>
        <w:jc w:val="center"/>
      </w:trPr>
      <w:tc>
        <w:tcPr>
          <w:tcBorders/>
          <w:tcW w:w="5954" w:type="dxa"/>
          <w:vAlign w:val="center"/>
          <w:textDirection w:val="lrTb"/>
          <w:noWrap w:val="false"/>
        </w:tcPr>
        <w:p>
          <w:pPr>
            <w:pStyle w:val="971"/>
            <w:pBdr/>
            <w:tabs>
              <w:tab w:val="clear" w:leader="none" w:pos="4677"/>
              <w:tab w:val="clear" w:leader="none" w:pos="9355"/>
            </w:tabs>
            <w:spacing/>
            <w:ind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  <w:tc>
        <w:tcPr>
          <w:tcBorders/>
          <w:tcW w:w="3685" w:type="dxa"/>
          <w:vAlign w:val="center"/>
          <w:textDirection w:val="lrTb"/>
          <w:noWrap w:val="false"/>
        </w:tcPr>
        <w:p>
          <w:pPr>
            <w:pStyle w:val="971"/>
            <w:pBdr/>
            <w:tabs>
              <w:tab w:val="clear" w:leader="none" w:pos="4677"/>
              <w:tab w:val="clear" w:leader="none" w:pos="9355"/>
            </w:tabs>
            <w:spacing/>
            <w:ind/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 xml:space="preserve"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t xml:space="preserve"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</w:r>
        </w:p>
      </w:tc>
    </w:tr>
  </w:tbl>
  <w:p>
    <w:pPr>
      <w:pStyle w:val="97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9"/>
      <w:pBdr/>
      <w:tabs>
        <w:tab w:val="clear" w:leader="none" w:pos="9355"/>
        <w:tab w:val="right" w:leader="none" w:pos="10631"/>
      </w:tabs>
      <w:spacing/>
      <w:ind/>
      <w:rPr>
        <w:lang w:val="en-US"/>
      </w:rPr>
    </w:pPr>
    <w:r>
      <w:rPr>
        <w:lang w:val="en-US"/>
      </w:rPr>
    </w:r>
    <w:r>
      <w:rPr>
        <w:lang w:val="en-US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60" w:left="1287"/>
      </w:pPr>
      <w:pStyle w:val="1035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"/>
      <w:numFmt w:val="bullet"/>
      <w:pPr>
        <w:pBdr/>
        <w:spacing/>
        <w:ind w:hanging="360" w:left="2007"/>
      </w:pPr>
      <w:rPr>
        <w:rFonts w:hint="default" w:ascii="Wingdings" w:hAnsi="Wingdings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142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6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58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2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4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189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00000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287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007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727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447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167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887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607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327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047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928"/>
      </w:pPr>
      <w:rPr>
        <w:b/>
        <w:i w:val="0"/>
        <w:sz w:val="32"/>
        <w:szCs w:val="32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502"/>
      </w:pPr>
      <w:rPr>
        <w:rFonts w:ascii="Times New Roman" w:hAnsi="Times New Roman" w:eastAsia="Times New Roman" w:cs="Times New Roman"/>
        <w:b/>
        <w:i/>
        <w:color w:val="000000"/>
        <w:sz w:val="28"/>
        <w:szCs w:val="28"/>
      </w:rPr>
      <w:start w:val="1"/>
      <w:suff w:val="tab"/>
    </w:lvl>
    <w:lvl w:ilvl="2">
      <w:isLgl w:val="false"/>
      <w:lvlJc w:val="left"/>
      <w:lvlText w:val="●"/>
      <w:numFmt w:val="bullet"/>
      <w:pPr>
        <w:pBdr/>
        <w:spacing/>
        <w:ind w:hanging="720" w:left="1800"/>
      </w:pPr>
      <w:rPr>
        <w:rFonts w:ascii="Noto Sans Symbols" w:hAnsi="Noto Sans Symbols" w:eastAsia="Noto Sans Symbols" w:cs="Noto Sans Symbols"/>
      </w:rPr>
      <w:start w:val="1"/>
      <w:suff w:val="tab"/>
    </w:lvl>
    <w:lvl w:ilvl="3">
      <w:isLgl w:val="false"/>
      <w:lvlJc w:val="left"/>
      <w:lvlText w:val="%1.%2.●.%4."/>
      <w:numFmt w:val="decimal"/>
      <w:pPr>
        <w:pBdr/>
        <w:spacing/>
        <w:ind w:hanging="720" w:left="2160"/>
      </w:pPr>
      <w:rPr/>
      <w:start w:val="1"/>
      <w:suff w:val="tab"/>
    </w:lvl>
    <w:lvl w:ilvl="4">
      <w:isLgl w:val="false"/>
      <w:lvlJc w:val="left"/>
      <w:lvlText w:val="%1.%2.●.%4.%5."/>
      <w:numFmt w:val="decimal"/>
      <w:pPr>
        <w:pBdr/>
        <w:spacing/>
        <w:ind w:hanging="1080" w:left="2880"/>
      </w:pPr>
      <w:rPr/>
      <w:start w:val="1"/>
      <w:suff w:val="tab"/>
    </w:lvl>
    <w:lvl w:ilvl="5">
      <w:isLgl w:val="false"/>
      <w:lvlJc w:val="left"/>
      <w:lvlText w:val="%1.%2.●.%4.%5.%6."/>
      <w:numFmt w:val="decimal"/>
      <w:pPr>
        <w:pBdr/>
        <w:spacing/>
        <w:ind w:hanging="1080" w:left="3240"/>
      </w:pPr>
      <w:rPr/>
      <w:start w:val="1"/>
      <w:suff w:val="tab"/>
    </w:lvl>
    <w:lvl w:ilvl="6">
      <w:isLgl w:val="false"/>
      <w:lvlJc w:val="left"/>
      <w:lvlText w:val="%1.%2.●.%4.%5.%6.%7."/>
      <w:numFmt w:val="decimal"/>
      <w:pPr>
        <w:pBdr/>
        <w:spacing/>
        <w:ind w:hanging="1440" w:left="3960"/>
      </w:pPr>
      <w:rPr/>
      <w:start w:val="1"/>
      <w:suff w:val="tab"/>
    </w:lvl>
    <w:lvl w:ilvl="7">
      <w:isLgl w:val="false"/>
      <w:lvlJc w:val="left"/>
      <w:lvlText w:val="%1.%2.●.%4.%5.%6.%7.%8."/>
      <w:numFmt w:val="decimal"/>
      <w:pPr>
        <w:pBdr/>
        <w:spacing/>
        <w:ind w:hanging="1440" w:left="4320"/>
      </w:pPr>
      <w:rPr/>
      <w:start w:val="1"/>
      <w:suff w:val="tab"/>
    </w:lvl>
    <w:lvl w:ilvl="8">
      <w:isLgl w:val="false"/>
      <w:lvlJc w:val="left"/>
      <w:lvlText w:val="%1.%2.●.%4.%5.%6.%7.%8.%9."/>
      <w:numFmt w:val="decimal"/>
      <w:pPr>
        <w:pBdr/>
        <w:spacing/>
        <w:ind w:hanging="1800" w:left="5040"/>
      </w:pPr>
      <w:rPr/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09"/>
      <w:rPr>
        <w:rFonts w:hint="default" w:ascii="Symbol" w:hAnsi="Symbol" w:eastAsia="Times New Roman" w:cs="Times New Roman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7">
    <w:lvl w:ilvl="0">
      <w:isLgl w:val="false"/>
      <w:lvlJc w:val="left"/>
      <w:lvlText w:val="•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•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Arial" w:hAnsi="Arial"/>
      </w:rPr>
      <w:start w:val="1"/>
      <w:suff w:val="tab"/>
    </w:lvl>
    <w:lvl w:ilvl="2">
      <w:isLgl w:val="false"/>
      <w:lvlJc w:val="left"/>
      <w:lvlText w:val="•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Arial" w:hAnsi="Arial"/>
      </w:rPr>
      <w:start w:val="1"/>
      <w:suff w:val="tab"/>
    </w:lvl>
    <w:lvl w:ilvl="3">
      <w:isLgl w:val="false"/>
      <w:lvlJc w:val="left"/>
      <w:lvlText w:val="•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Arial" w:hAnsi="Arial"/>
      </w:rPr>
      <w:start w:val="1"/>
      <w:suff w:val="tab"/>
    </w:lvl>
    <w:lvl w:ilvl="4">
      <w:isLgl w:val="false"/>
      <w:lvlJc w:val="left"/>
      <w:lvlText w:val="•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Arial" w:hAnsi="Arial"/>
      </w:rPr>
      <w:start w:val="1"/>
      <w:suff w:val="tab"/>
    </w:lvl>
    <w:lvl w:ilvl="5">
      <w:isLgl w:val="false"/>
      <w:lvlJc w:val="left"/>
      <w:lvlText w:val="•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Arial" w:hAnsi="Arial"/>
      </w:rPr>
      <w:start w:val="1"/>
      <w:suff w:val="tab"/>
    </w:lvl>
    <w:lvl w:ilvl="6">
      <w:isLgl w:val="false"/>
      <w:lvlJc w:val="left"/>
      <w:lvlText w:val="•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Arial" w:hAnsi="Arial"/>
      </w:rPr>
      <w:start w:val="1"/>
      <w:suff w:val="tab"/>
    </w:lvl>
    <w:lvl w:ilvl="7">
      <w:isLgl w:val="false"/>
      <w:lvlJc w:val="left"/>
      <w:lvlText w:val="•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Arial" w:hAnsi="Arial"/>
      </w:rPr>
      <w:start w:val="1"/>
      <w:suff w:val="tab"/>
    </w:lvl>
    <w:lvl w:ilvl="8">
      <w:isLgl w:val="false"/>
      <w:lvlJc w:val="left"/>
      <w:lvlText w:val="•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Arial" w:hAnsi="Arial"/>
      </w:rPr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 w:val="0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2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429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1080" w:left="1789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789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440" w:left="2149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800" w:left="2509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800" w:left="2509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2160" w:left="2869"/>
      </w:pPr>
      <w:rPr>
        <w:rFonts w:hint="default"/>
      </w:rPr>
      <w:start w:val="1"/>
      <w:suff w:val="tab"/>
    </w:lvl>
  </w:abstractNum>
  <w:abstractNum w:abstractNumId="10">
    <w:lvl w:ilvl="0">
      <w:isLgl w:val="false"/>
      <w:lvlJc w:val="left"/>
      <w:lvlText w:val=""/>
      <w:numFmt w:val="bullet"/>
      <w:pPr>
        <w:pBdr/>
        <w:spacing/>
        <w:ind w:hanging="360" w:left="1789"/>
      </w:pPr>
      <w:rPr>
        <w:rFonts w:hint="default" w:ascii="Wingdings" w:hAnsi="Wingdings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  <w:color w:val="000000"/>
        <w:sz w:val="24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12">
    <w:lvl w:ilvl="0">
      <w:isLgl w:val="false"/>
      <w:lvlJc w:val="left"/>
      <w:lvlText w:val=""/>
      <w:numFmt w:val="bullet"/>
      <w:pPr>
        <w:pBdr/>
        <w:tabs>
          <w:tab w:val="num" w:leader="none" w:pos="360"/>
        </w:tabs>
        <w:spacing/>
        <w:ind w:hanging="360" w:left="360"/>
      </w:pPr>
      <w:pStyle w:val="991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3"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/>
      </w:rPr>
      <w:start w:val="1"/>
      <w:suff w:val="tab"/>
    </w:lvl>
    <w:lvl w:ilvl="1">
      <w:isLgl w:val="true"/>
      <w:lvlJc w:val="left"/>
      <w:lvlText w:val="%1.%2."/>
      <w:numFmt w:val="decimal"/>
      <w:pPr>
        <w:pBdr/>
        <w:spacing/>
        <w:ind w:hanging="495" w:left="855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2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</w:abstractNum>
  <w:abstractNum w:abstractNumId="14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7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8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19">
    <w:lvl w:ilvl="0">
      <w:isLgl w:val="false"/>
      <w:lvlJc w:val="left"/>
      <w:lvlText w:val="•"/>
      <w:numFmt w:val="bullet"/>
      <w:pPr>
        <w:pBdr/>
        <w:spacing/>
        <w:ind w:hanging="360" w:left="720"/>
      </w:pPr>
      <w:rPr>
        <w:rFonts w:hint="default" w:ascii="Arial" w:hAnsi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495" w:left="495"/>
      </w:pPr>
      <w:rPr>
        <w:rFonts w:hint="default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1429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2138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3207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3916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4985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6054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6763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7832"/>
      </w:pPr>
      <w:rPr>
        <w:rFonts w:hint="default"/>
      </w:rPr>
      <w:start w:val="1"/>
      <w:suff w:val="tab"/>
    </w:lvl>
  </w:abstractNum>
  <w:abstractNum w:abstractNumId="21">
    <w:lvl w:ilvl="0">
      <w:isLgl w:val="false"/>
      <w:lvlJc w:val="left"/>
      <w:lvlText w:val=""/>
      <w:numFmt w:val="bullet"/>
      <w:pPr>
        <w:pBdr/>
        <w:spacing/>
        <w:ind w:hanging="360" w:left="1789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509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3229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949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669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389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6109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829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549"/>
      </w:pPr>
      <w:rPr>
        <w:rFonts w:hint="default" w:ascii="Wingdings" w:hAnsi="Wingdings"/>
      </w:rPr>
      <w:start w:val="1"/>
      <w:suff w:val="tab"/>
    </w:lvl>
  </w:abstractNum>
  <w:abstractNum w:abstractNumId="22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pStyle w:val="1023"/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4320"/>
        </w:tabs>
        <w:spacing/>
        <w:ind w:hanging="360" w:left="4320"/>
      </w:pPr>
      <w:rPr>
        <w:rFonts w:hint="default" w:ascii="Symbol" w:hAnsi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5040"/>
        </w:tabs>
        <w:spacing/>
        <w:ind w:hanging="360" w:left="504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tabs>
          <w:tab w:val="num" w:leader="none" w:pos="5760"/>
        </w:tabs>
        <w:spacing/>
        <w:ind w:hanging="360" w:left="576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tabs>
          <w:tab w:val="num" w:leader="none" w:pos="6480"/>
        </w:tabs>
        <w:spacing/>
        <w:ind w:hanging="360" w:left="6480"/>
      </w:pPr>
      <w:rPr>
        <w:rFonts w:hint="default" w:ascii="Wingdings" w:hAnsi="Wingdings"/>
      </w:rPr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1">
      <w:isLgl w:val="false"/>
      <w:lvlJc w:val="left"/>
      <w:lvlText w:val="%1.%2."/>
      <w:numFmt w:val="decimal"/>
      <w:pPr>
        <w:pBdr/>
        <w:spacing/>
        <w:ind w:hanging="770" w:left="770"/>
      </w:pPr>
      <w:rPr>
        <w:rFonts w:hint="default"/>
      </w:rPr>
      <w:start w:val="10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70" w:left="770"/>
      </w:pPr>
      <w:rPr>
        <w:rFonts w:hint="default"/>
      </w:rPr>
      <w:start w:val="2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5">
    <w:lvl w:ilvl="0">
      <w:isLgl w:val="false"/>
      <w:lvlJc w:val="left"/>
      <w:lvlText w:val="%1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2"/>
      <w:suff w:val="tab"/>
    </w:lvl>
    <w:lvl w:ilvl="1">
      <w:isLgl w:val="false"/>
      <w:lvlJc w:val="left"/>
      <w:lvlText w:val="%1.%2"/>
      <w:numFmt w:val="decimal"/>
      <w:pPr>
        <w:pBdr/>
        <w:spacing/>
        <w:ind w:hanging="700" w:left="700"/>
      </w:pPr>
      <w:rPr>
        <w:rFonts w:hint="default"/>
        <w:b w:val="0"/>
        <w:i/>
      </w:rPr>
      <w:start w:val="10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  <w:b w:val="0"/>
        <w:i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  <w:b w:val="0"/>
        <w:i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  <w:b w:val="0"/>
        <w:i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  <w:b w:val="0"/>
        <w:i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  <w:b w:val="0"/>
        <w:i/>
      </w:rPr>
      <w:start w:val="1"/>
      <w:suff w:val="tab"/>
    </w:lvl>
  </w:abstractNum>
  <w:num w:numId="1">
    <w:abstractNumId w:val="12"/>
  </w:num>
  <w:num w:numId="2">
    <w:abstractNumId w:val="22"/>
  </w:num>
  <w:num w:numId="3">
    <w:abstractNumId w:val="6"/>
  </w:num>
  <w:num w:numId="4">
    <w:abstractNumId w:val="4"/>
  </w:num>
  <w:num w:numId="5">
    <w:abstractNumId w:val="13"/>
  </w:num>
  <w:num w:numId="6">
    <w:abstractNumId w:val="7"/>
  </w:num>
  <w:num w:numId="7">
    <w:abstractNumId w:val="0"/>
  </w:num>
  <w:num w:numId="8">
    <w:abstractNumId w:val="1"/>
  </w:num>
  <w:num w:numId="9">
    <w:abstractNumId w:val="21"/>
  </w:num>
  <w:num w:numId="10">
    <w:abstractNumId w:val="10"/>
  </w:num>
  <w:num w:numId="11">
    <w:abstractNumId w:val="2"/>
  </w:num>
  <w:num w:numId="12">
    <w:abstractNumId w:val="19"/>
  </w:num>
  <w:num w:numId="13">
    <w:abstractNumId w:val="18"/>
  </w:num>
  <w:num w:numId="14">
    <w:abstractNumId w:val="17"/>
  </w:num>
  <w:num w:numId="15">
    <w:abstractNumId w:val="14"/>
  </w:num>
  <w:num w:numId="16">
    <w:abstractNumId w:val="24"/>
  </w:num>
  <w:num w:numId="17">
    <w:abstractNumId w:val="3"/>
  </w:num>
  <w:num w:numId="18">
    <w:abstractNumId w:val="8"/>
  </w:num>
  <w:num w:numId="19">
    <w:abstractNumId w:val="16"/>
  </w:num>
  <w:num w:numId="20">
    <w:abstractNumId w:val="5"/>
  </w:num>
  <w:num w:numId="21">
    <w:abstractNumId w:val="25"/>
  </w:num>
  <w:num w:numId="22">
    <w:abstractNumId w:val="23"/>
  </w:num>
  <w:num w:numId="23">
    <w:abstractNumId w:val="11"/>
  </w:num>
  <w:num w:numId="24">
    <w:abstractNumId w:val="9"/>
  </w:num>
  <w:num w:numId="25">
    <w:abstractNumId w:val="20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59">
    <w:name w:val="Title Char"/>
    <w:basedOn w:val="804"/>
    <w:link w:val="94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804"/>
    <w:link w:val="94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804"/>
    <w:link w:val="945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7">
    <w:name w:val="Intense Quote Char"/>
    <w:basedOn w:val="804"/>
    <w:link w:val="94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84">
    <w:name w:val="Endnote Text Char"/>
    <w:basedOn w:val="804"/>
    <w:link w:val="959"/>
    <w:uiPriority w:val="99"/>
    <w:semiHidden/>
    <w:pPr>
      <w:pBdr/>
      <w:spacing/>
      <w:ind/>
    </w:pPr>
    <w:rPr>
      <w:sz w:val="20"/>
      <w:szCs w:val="20"/>
    </w:rPr>
  </w:style>
  <w:style w:type="paragraph" w:styleId="794" w:default="1">
    <w:name w:val="Normal"/>
    <w:qFormat/>
    <w:pPr>
      <w:pBdr/>
      <w:spacing/>
      <w:ind/>
    </w:pPr>
  </w:style>
  <w:style w:type="paragraph" w:styleId="795">
    <w:name w:val="Heading 1"/>
    <w:basedOn w:val="794"/>
    <w:next w:val="794"/>
    <w:link w:val="978"/>
    <w:qFormat/>
    <w:pPr>
      <w:keepNext w:val="true"/>
      <w:pBdr/>
      <w:spacing w:after="120" w:before="240" w:line="360" w:lineRule="auto"/>
      <w:ind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796">
    <w:name w:val="Heading 2"/>
    <w:basedOn w:val="794"/>
    <w:next w:val="794"/>
    <w:link w:val="979"/>
    <w:qFormat/>
    <w:pPr>
      <w:keepNext w:val="true"/>
      <w:pBdr/>
      <w:spacing w:after="120" w:before="240" w:line="360" w:lineRule="auto"/>
      <w:ind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797">
    <w:name w:val="Heading 3"/>
    <w:basedOn w:val="794"/>
    <w:next w:val="794"/>
    <w:link w:val="980"/>
    <w:qFormat/>
    <w:pPr>
      <w:keepNext w:val="true"/>
      <w:pBdr/>
      <w:spacing w:after="0" w:before="120" w:line="360" w:lineRule="auto"/>
      <w:ind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798">
    <w:name w:val="Heading 4"/>
    <w:basedOn w:val="794"/>
    <w:next w:val="794"/>
    <w:link w:val="981"/>
    <w:qFormat/>
    <w:pPr>
      <w:keepNext w:val="true"/>
      <w:widowControl w:val="false"/>
      <w:pBdr/>
      <w:spacing w:after="0" w:line="360" w:lineRule="auto"/>
      <w:ind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799">
    <w:name w:val="Heading 5"/>
    <w:basedOn w:val="794"/>
    <w:next w:val="794"/>
    <w:link w:val="982"/>
    <w:qFormat/>
    <w:pPr>
      <w:keepNext w:val="true"/>
      <w:widowControl w:val="false"/>
      <w:pBdr/>
      <w:spacing w:after="0" w:line="360" w:lineRule="auto"/>
      <w:ind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800">
    <w:name w:val="Heading 6"/>
    <w:basedOn w:val="794"/>
    <w:next w:val="794"/>
    <w:link w:val="983"/>
    <w:qFormat/>
    <w:pPr>
      <w:keepNext w:val="true"/>
      <w:widowControl w:val="false"/>
      <w:pBdr/>
      <w:spacing w:after="58" w:line="360" w:lineRule="auto"/>
      <w:ind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01">
    <w:name w:val="Heading 7"/>
    <w:basedOn w:val="794"/>
    <w:next w:val="794"/>
    <w:link w:val="984"/>
    <w:qFormat/>
    <w:pPr>
      <w:keepNext w:val="true"/>
      <w:widowControl w:val="false"/>
      <w:pBdr/>
      <w:spacing w:after="0" w:line="360" w:lineRule="auto"/>
      <w:ind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802">
    <w:name w:val="Heading 8"/>
    <w:basedOn w:val="794"/>
    <w:next w:val="794"/>
    <w:link w:val="985"/>
    <w:qFormat/>
    <w:pPr>
      <w:keepNext w:val="true"/>
      <w:widowControl w:val="false"/>
      <w:pBdr/>
      <w:spacing w:after="0" w:line="360" w:lineRule="auto"/>
      <w:ind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803">
    <w:name w:val="Heading 9"/>
    <w:basedOn w:val="794"/>
    <w:next w:val="794"/>
    <w:link w:val="986"/>
    <w:qFormat/>
    <w:pPr>
      <w:keepNext w:val="true"/>
      <w:widowControl w:val="false"/>
      <w:pBdr/>
      <w:spacing w:after="0" w:line="360" w:lineRule="auto"/>
      <w:ind w:firstLine="360" w:left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804" w:default="1">
    <w:name w:val="Default Paragraph Font"/>
    <w:uiPriority w:val="1"/>
    <w:semiHidden/>
    <w:unhideWhenUsed/>
    <w:pPr>
      <w:pBdr/>
      <w:spacing/>
      <w:ind/>
    </w:pPr>
  </w:style>
  <w:style w:type="table" w:styleId="80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06" w:default="1">
    <w:name w:val="No List"/>
    <w:uiPriority w:val="99"/>
    <w:semiHidden/>
    <w:unhideWhenUsed/>
    <w:pPr>
      <w:pBdr/>
      <w:spacing/>
      <w:ind/>
    </w:pPr>
  </w:style>
  <w:style w:type="table" w:styleId="807" w:customStyle="1">
    <w:name w:val="Table Grid Light"/>
    <w:basedOn w:val="805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Plain Table 1"/>
    <w:basedOn w:val="805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Plain Table 2"/>
    <w:basedOn w:val="805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Plain Table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Plain Table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Plain Table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1 Light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1 Light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1 Light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1 Light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Grid Table 1 Light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1 Light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1 Light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2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2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2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Grid Table 2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2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2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3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3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3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Grid Table 3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Grid Table 3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Grid Table 3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Grid Table 4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Grid Table 4 - Accent 1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68a2d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Grid Table 4 - Accent 2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Grid Table 4 - Accent 3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Grid Table 4 - Accent 4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Grid Table 4 - Accent 5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Grid Table 4 - Accent 6"/>
    <w:basedOn w:val="805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Grid Table 5 Dark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Grid Table 5 Dark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Grid Table 5 Dark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Grid Table 5 Dark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Grid Table 5 Dark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Grid Table 5 Dark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Grid Table 5 Dark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Grid Table 6 Colorful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Grid Table 6 Colorful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Grid Table 6 Colorful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Grid Table 6 Colorful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 w:customStyle="1">
    <w:name w:val="Grid Table 6 Colorful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Grid Table 6 Colorful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Grid Table 6 Colorful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Grid Table 7 Colorful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Grid Table 7 Colorful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Grid Table 7 Colorful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Grid Table 7 Colorful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 w:customStyle="1">
    <w:name w:val="Grid Table 7 Colorful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Grid Table 7 Colorful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Grid Table 7 Colorful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1 Light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1 Light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1 Light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1 Light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 w:customStyle="1">
    <w:name w:val="List Table 1 Light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1 Light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1 Light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2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2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2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 w:customStyle="1">
    <w:name w:val="List Table 2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2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2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3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3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3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st Table 3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st Table 3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st Table 3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st Table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st Table 4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st Table 4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st Table 4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List Table 4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List Table 4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List Table 4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List Table 5 Dark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List Table 5 Dark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List Table 5 Dark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List Table 5 Dark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List Table 5 Dark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List Table 5 Dark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List Table 5 Dark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List Table 6 Colorful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List Table 6 Colorful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List Table 6 Colorful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List Table 6 Colorful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1" w:customStyle="1">
    <w:name w:val="List Table 6 Colorful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2" w:customStyle="1">
    <w:name w:val="List Table 6 Colorful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3" w:customStyle="1">
    <w:name w:val="List Table 6 Colorful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4">
    <w:name w:val="List Table 7 Colorful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5" w:customStyle="1">
    <w:name w:val="List Table 7 Colorful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6" w:customStyle="1">
    <w:name w:val="List Table 7 Colorful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7" w:customStyle="1">
    <w:name w:val="List Table 7 Colorful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8" w:customStyle="1">
    <w:name w:val="List Table 7 Colorful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9" w:customStyle="1">
    <w:name w:val="List Table 7 Colorful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0" w:customStyle="1">
    <w:name w:val="List Table 7 Colorful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1" w:customStyle="1">
    <w:name w:val="Lined - Accent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2" w:customStyle="1">
    <w:name w:val="Lined - Accent 1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3" w:customStyle="1">
    <w:name w:val="Lined - Accent 2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4" w:customStyle="1">
    <w:name w:val="Lined - Accent 3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5" w:customStyle="1">
    <w:name w:val="Lined - Accent 4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6" w:customStyle="1">
    <w:name w:val="Lined - Accent 5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7" w:customStyle="1">
    <w:name w:val="Lined - Accent 6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8" w:customStyle="1">
    <w:name w:val="Bordered &amp; Lined - Accent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9" w:customStyle="1">
    <w:name w:val="Bordered &amp; Lined - Accent 1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0" w:customStyle="1">
    <w:name w:val="Bordered &amp; Lined - Accent 2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1" w:customStyle="1">
    <w:name w:val="Bordered &amp; Lined - Accent 3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2" w:customStyle="1">
    <w:name w:val="Bordered &amp; Lined - Accent 4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3" w:customStyle="1">
    <w:name w:val="Bordered &amp; Lined - Accent 5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4" w:customStyle="1">
    <w:name w:val="Bordered &amp; Lined - Accent 6"/>
    <w:basedOn w:val="805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5" w:customStyle="1">
    <w:name w:val="Bordered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6" w:customStyle="1">
    <w:name w:val="Bordered - Accent 1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7" w:customStyle="1">
    <w:name w:val="Bordered - Accent 2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8" w:customStyle="1">
    <w:name w:val="Bordered - Accent 3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9" w:customStyle="1">
    <w:name w:val="Bordered - Accent 4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0" w:customStyle="1">
    <w:name w:val="Bordered - Accent 5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1" w:customStyle="1">
    <w:name w:val="Bordered - Accent 6"/>
    <w:basedOn w:val="805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32" w:customStyle="1">
    <w:name w:val="Heading 1 Char"/>
    <w:basedOn w:val="804"/>
    <w:uiPriority w:val="9"/>
    <w:pPr>
      <w:pBdr/>
      <w:spacing/>
      <w:ind/>
    </w:pPr>
    <w:rPr>
      <w:rFonts w:ascii="Arial" w:hAnsi="Arial" w:eastAsia="Arial" w:cs="Arial"/>
      <w:color w:val="2e74b5" w:themeColor="accent1" w:themeShade="BF"/>
      <w:sz w:val="40"/>
      <w:szCs w:val="40"/>
    </w:rPr>
  </w:style>
  <w:style w:type="character" w:styleId="933" w:customStyle="1">
    <w:name w:val="Heading 2 Char"/>
    <w:basedOn w:val="804"/>
    <w:uiPriority w:val="9"/>
    <w:pPr>
      <w:pBdr/>
      <w:spacing/>
      <w:ind/>
    </w:pPr>
    <w:rPr>
      <w:rFonts w:ascii="Arial" w:hAnsi="Arial" w:eastAsia="Arial" w:cs="Arial"/>
      <w:color w:val="2e74b5" w:themeColor="accent1" w:themeShade="BF"/>
      <w:sz w:val="32"/>
      <w:szCs w:val="32"/>
    </w:rPr>
  </w:style>
  <w:style w:type="character" w:styleId="934" w:customStyle="1">
    <w:name w:val="Heading 3 Char"/>
    <w:basedOn w:val="804"/>
    <w:uiPriority w:val="9"/>
    <w:pPr>
      <w:pBdr/>
      <w:spacing/>
      <w:ind/>
    </w:pPr>
    <w:rPr>
      <w:rFonts w:ascii="Arial" w:hAnsi="Arial" w:eastAsia="Arial" w:cs="Arial"/>
      <w:color w:val="2e74b5" w:themeColor="accent1" w:themeShade="BF"/>
      <w:sz w:val="28"/>
      <w:szCs w:val="28"/>
    </w:rPr>
  </w:style>
  <w:style w:type="character" w:styleId="935" w:customStyle="1">
    <w:name w:val="Heading 4 Char"/>
    <w:basedOn w:val="804"/>
    <w:uiPriority w:val="9"/>
    <w:pPr>
      <w:pBdr/>
      <w:spacing/>
      <w:ind/>
    </w:pPr>
    <w:rPr>
      <w:rFonts w:ascii="Arial" w:hAnsi="Arial" w:eastAsia="Arial" w:cs="Arial"/>
      <w:i/>
      <w:iCs/>
      <w:color w:val="2e74b5" w:themeColor="accent1" w:themeShade="BF"/>
    </w:rPr>
  </w:style>
  <w:style w:type="character" w:styleId="936" w:customStyle="1">
    <w:name w:val="Heading 5 Char"/>
    <w:basedOn w:val="804"/>
    <w:uiPriority w:val="9"/>
    <w:pPr>
      <w:pBdr/>
      <w:spacing/>
      <w:ind/>
    </w:pPr>
    <w:rPr>
      <w:rFonts w:ascii="Arial" w:hAnsi="Arial" w:eastAsia="Arial" w:cs="Arial"/>
      <w:color w:val="2e74b5" w:themeColor="accent1" w:themeShade="BF"/>
    </w:rPr>
  </w:style>
  <w:style w:type="character" w:styleId="937" w:customStyle="1">
    <w:name w:val="Heading 6 Char"/>
    <w:basedOn w:val="80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38" w:customStyle="1">
    <w:name w:val="Heading 7 Char"/>
    <w:basedOn w:val="80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39" w:customStyle="1">
    <w:name w:val="Heading 8 Char"/>
    <w:basedOn w:val="80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40" w:customStyle="1">
    <w:name w:val="Heading 9 Char"/>
    <w:basedOn w:val="80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41">
    <w:name w:val="Title"/>
    <w:basedOn w:val="794"/>
    <w:next w:val="794"/>
    <w:link w:val="94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42" w:customStyle="1">
    <w:name w:val="Заголовок Знак"/>
    <w:basedOn w:val="804"/>
    <w:link w:val="94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43">
    <w:name w:val="Subtitle"/>
    <w:basedOn w:val="794"/>
    <w:next w:val="794"/>
    <w:link w:val="94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44" w:customStyle="1">
    <w:name w:val="Подзаголовок Знак"/>
    <w:basedOn w:val="804"/>
    <w:link w:val="94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45">
    <w:name w:val="Quote"/>
    <w:basedOn w:val="794"/>
    <w:next w:val="794"/>
    <w:link w:val="94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46" w:customStyle="1">
    <w:name w:val="Цитата 2 Знак"/>
    <w:basedOn w:val="804"/>
    <w:link w:val="945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947">
    <w:name w:val="Intense Emphasis"/>
    <w:basedOn w:val="804"/>
    <w:uiPriority w:val="21"/>
    <w:qFormat/>
    <w:pPr>
      <w:pBdr/>
      <w:spacing/>
      <w:ind/>
    </w:pPr>
    <w:rPr>
      <w:i/>
      <w:iCs/>
      <w:color w:val="2e74b5" w:themeColor="accent1" w:themeShade="BF"/>
    </w:rPr>
  </w:style>
  <w:style w:type="paragraph" w:styleId="948">
    <w:name w:val="Intense Quote"/>
    <w:basedOn w:val="794"/>
    <w:next w:val="794"/>
    <w:link w:val="949"/>
    <w:uiPriority w:val="30"/>
    <w:qFormat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after="360" w:before="360"/>
      <w:ind w:right="864" w:left="864"/>
      <w:jc w:val="center"/>
    </w:pPr>
    <w:rPr>
      <w:i/>
      <w:iCs/>
      <w:color w:val="2e74b5" w:themeColor="accent1" w:themeShade="BF"/>
    </w:rPr>
  </w:style>
  <w:style w:type="character" w:styleId="949" w:customStyle="1">
    <w:name w:val="Выделенная цитата Знак"/>
    <w:basedOn w:val="804"/>
    <w:link w:val="948"/>
    <w:uiPriority w:val="30"/>
    <w:pPr>
      <w:pBdr/>
      <w:spacing/>
      <w:ind/>
    </w:pPr>
    <w:rPr>
      <w:i/>
      <w:iCs/>
      <w:color w:val="2e74b5" w:themeColor="accent1" w:themeShade="BF"/>
    </w:rPr>
  </w:style>
  <w:style w:type="character" w:styleId="950">
    <w:name w:val="Intense Reference"/>
    <w:basedOn w:val="804"/>
    <w:uiPriority w:val="32"/>
    <w:qFormat/>
    <w:pPr>
      <w:pBdr/>
      <w:spacing/>
      <w:ind/>
    </w:pPr>
    <w:rPr>
      <w:b/>
      <w:bCs/>
      <w:smallCaps/>
      <w:color w:val="2e74b5" w:themeColor="accent1" w:themeShade="BF"/>
      <w:spacing w:val="5"/>
    </w:rPr>
  </w:style>
  <w:style w:type="character" w:styleId="951">
    <w:name w:val="Subtle Emphasis"/>
    <w:basedOn w:val="80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52">
    <w:name w:val="Emphasis"/>
    <w:basedOn w:val="804"/>
    <w:uiPriority w:val="20"/>
    <w:qFormat/>
    <w:pPr>
      <w:pBdr/>
      <w:spacing/>
      <w:ind/>
    </w:pPr>
    <w:rPr>
      <w:i/>
      <w:iCs/>
    </w:rPr>
  </w:style>
  <w:style w:type="character" w:styleId="953">
    <w:name w:val="Strong"/>
    <w:basedOn w:val="804"/>
    <w:uiPriority w:val="22"/>
    <w:qFormat/>
    <w:pPr>
      <w:pBdr/>
      <w:spacing/>
      <w:ind/>
    </w:pPr>
    <w:rPr>
      <w:b/>
      <w:bCs/>
    </w:rPr>
  </w:style>
  <w:style w:type="character" w:styleId="954">
    <w:name w:val="Subtle Reference"/>
    <w:basedOn w:val="80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55">
    <w:name w:val="Book Title"/>
    <w:basedOn w:val="80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956" w:customStyle="1">
    <w:name w:val="Header Char"/>
    <w:basedOn w:val="804"/>
    <w:uiPriority w:val="99"/>
    <w:pPr>
      <w:pBdr/>
      <w:spacing/>
      <w:ind/>
    </w:pPr>
  </w:style>
  <w:style w:type="character" w:styleId="957" w:customStyle="1">
    <w:name w:val="Footer Char"/>
    <w:basedOn w:val="804"/>
    <w:uiPriority w:val="99"/>
    <w:pPr>
      <w:pBdr/>
      <w:spacing/>
      <w:ind/>
    </w:pPr>
  </w:style>
  <w:style w:type="character" w:styleId="958" w:customStyle="1">
    <w:name w:val="Footnote Text Char"/>
    <w:basedOn w:val="804"/>
    <w:uiPriority w:val="99"/>
    <w:semiHidden/>
    <w:pPr>
      <w:pBdr/>
      <w:spacing/>
      <w:ind/>
    </w:pPr>
    <w:rPr>
      <w:sz w:val="20"/>
      <w:szCs w:val="20"/>
    </w:rPr>
  </w:style>
  <w:style w:type="paragraph" w:styleId="959">
    <w:name w:val="endnote text"/>
    <w:basedOn w:val="794"/>
    <w:link w:val="960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60" w:customStyle="1">
    <w:name w:val="Текст концевой сноски Знак"/>
    <w:basedOn w:val="804"/>
    <w:link w:val="959"/>
    <w:uiPriority w:val="99"/>
    <w:semiHidden/>
    <w:pPr>
      <w:pBdr/>
      <w:spacing/>
      <w:ind/>
    </w:pPr>
    <w:rPr>
      <w:sz w:val="20"/>
      <w:szCs w:val="20"/>
    </w:rPr>
  </w:style>
  <w:style w:type="character" w:styleId="961">
    <w:name w:val="endnote reference"/>
    <w:basedOn w:val="804"/>
    <w:uiPriority w:val="99"/>
    <w:semiHidden/>
    <w:unhideWhenUsed/>
    <w:pPr>
      <w:pBdr/>
      <w:spacing/>
      <w:ind/>
    </w:pPr>
    <w:rPr>
      <w:vertAlign w:val="superscript"/>
    </w:rPr>
  </w:style>
  <w:style w:type="paragraph" w:styleId="962">
    <w:name w:val="toc 4"/>
    <w:basedOn w:val="794"/>
    <w:next w:val="794"/>
    <w:uiPriority w:val="39"/>
    <w:unhideWhenUsed/>
    <w:pPr>
      <w:pBdr/>
      <w:spacing w:after="100"/>
      <w:ind w:left="660"/>
    </w:pPr>
  </w:style>
  <w:style w:type="paragraph" w:styleId="963">
    <w:name w:val="toc 5"/>
    <w:basedOn w:val="794"/>
    <w:next w:val="794"/>
    <w:uiPriority w:val="39"/>
    <w:unhideWhenUsed/>
    <w:pPr>
      <w:pBdr/>
      <w:spacing w:after="100"/>
      <w:ind w:left="880"/>
    </w:pPr>
  </w:style>
  <w:style w:type="paragraph" w:styleId="964">
    <w:name w:val="toc 6"/>
    <w:basedOn w:val="794"/>
    <w:next w:val="794"/>
    <w:uiPriority w:val="39"/>
    <w:unhideWhenUsed/>
    <w:pPr>
      <w:pBdr/>
      <w:spacing w:after="100"/>
      <w:ind w:left="1100"/>
    </w:pPr>
  </w:style>
  <w:style w:type="paragraph" w:styleId="965">
    <w:name w:val="toc 7"/>
    <w:basedOn w:val="794"/>
    <w:next w:val="794"/>
    <w:uiPriority w:val="39"/>
    <w:unhideWhenUsed/>
    <w:pPr>
      <w:pBdr/>
      <w:spacing w:after="100"/>
      <w:ind w:left="1320"/>
    </w:pPr>
  </w:style>
  <w:style w:type="paragraph" w:styleId="966">
    <w:name w:val="toc 8"/>
    <w:basedOn w:val="794"/>
    <w:next w:val="794"/>
    <w:uiPriority w:val="39"/>
    <w:unhideWhenUsed/>
    <w:pPr>
      <w:pBdr/>
      <w:spacing w:after="100"/>
      <w:ind w:left="1540"/>
    </w:pPr>
  </w:style>
  <w:style w:type="paragraph" w:styleId="967">
    <w:name w:val="toc 9"/>
    <w:basedOn w:val="794"/>
    <w:next w:val="794"/>
    <w:uiPriority w:val="39"/>
    <w:unhideWhenUsed/>
    <w:pPr>
      <w:pBdr/>
      <w:spacing w:after="100"/>
      <w:ind w:left="1760"/>
    </w:pPr>
  </w:style>
  <w:style w:type="paragraph" w:styleId="968">
    <w:name w:val="table of figures"/>
    <w:basedOn w:val="794"/>
    <w:next w:val="794"/>
    <w:uiPriority w:val="99"/>
    <w:unhideWhenUsed/>
    <w:pPr>
      <w:pBdr/>
      <w:spacing w:after="0"/>
      <w:ind/>
    </w:pPr>
  </w:style>
  <w:style w:type="paragraph" w:styleId="969">
    <w:name w:val="Header"/>
    <w:basedOn w:val="794"/>
    <w:link w:val="97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70" w:customStyle="1">
    <w:name w:val="Верхний колонтитул Знак"/>
    <w:basedOn w:val="804"/>
    <w:link w:val="969"/>
    <w:uiPriority w:val="99"/>
    <w:pPr>
      <w:pBdr/>
      <w:spacing/>
      <w:ind/>
    </w:pPr>
  </w:style>
  <w:style w:type="paragraph" w:styleId="971">
    <w:name w:val="Footer"/>
    <w:basedOn w:val="794"/>
    <w:link w:val="97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972" w:customStyle="1">
    <w:name w:val="Нижний колонтитул Знак"/>
    <w:basedOn w:val="804"/>
    <w:link w:val="971"/>
    <w:uiPriority w:val="99"/>
    <w:pPr>
      <w:pBdr/>
      <w:spacing/>
      <w:ind/>
    </w:pPr>
  </w:style>
  <w:style w:type="paragraph" w:styleId="973">
    <w:name w:val="No Spacing"/>
    <w:link w:val="974"/>
    <w:uiPriority w:val="1"/>
    <w:qFormat/>
    <w:pPr>
      <w:pBdr/>
      <w:spacing w:after="0" w:line="240" w:lineRule="auto"/>
      <w:ind/>
    </w:pPr>
    <w:rPr>
      <w:rFonts w:eastAsiaTheme="minorEastAsia"/>
      <w:lang w:eastAsia="ru-RU"/>
    </w:rPr>
  </w:style>
  <w:style w:type="character" w:styleId="974" w:customStyle="1">
    <w:name w:val="Без интервала Знак"/>
    <w:basedOn w:val="804"/>
    <w:link w:val="973"/>
    <w:uiPriority w:val="1"/>
    <w:pPr>
      <w:pBdr/>
      <w:spacing/>
      <w:ind/>
    </w:pPr>
    <w:rPr>
      <w:rFonts w:eastAsiaTheme="minorEastAsia"/>
      <w:lang w:eastAsia="ru-RU"/>
    </w:rPr>
  </w:style>
  <w:style w:type="character" w:styleId="975">
    <w:name w:val="Placeholder Text"/>
    <w:basedOn w:val="804"/>
    <w:uiPriority w:val="99"/>
    <w:semiHidden/>
    <w:pPr>
      <w:pBdr/>
      <w:spacing/>
      <w:ind/>
    </w:pPr>
    <w:rPr>
      <w:color w:val="808080"/>
    </w:rPr>
  </w:style>
  <w:style w:type="paragraph" w:styleId="976">
    <w:name w:val="Balloon Text"/>
    <w:basedOn w:val="794"/>
    <w:link w:val="977"/>
    <w:unhideWhenUsed/>
    <w:pPr>
      <w:pBdr/>
      <w:spacing w:after="0" w:line="240" w:lineRule="auto"/>
      <w:ind/>
    </w:pPr>
    <w:rPr>
      <w:rFonts w:ascii="Tahoma" w:hAnsi="Tahoma" w:cs="Tahoma"/>
      <w:sz w:val="16"/>
      <w:szCs w:val="16"/>
    </w:rPr>
  </w:style>
  <w:style w:type="character" w:styleId="977" w:customStyle="1">
    <w:name w:val="Текст выноски Знак"/>
    <w:basedOn w:val="804"/>
    <w:link w:val="976"/>
    <w:pPr>
      <w:pBdr/>
      <w:spacing/>
      <w:ind/>
    </w:pPr>
    <w:rPr>
      <w:rFonts w:ascii="Tahoma" w:hAnsi="Tahoma" w:cs="Tahoma"/>
      <w:sz w:val="16"/>
      <w:szCs w:val="16"/>
    </w:rPr>
  </w:style>
  <w:style w:type="character" w:styleId="978" w:customStyle="1">
    <w:name w:val="Заголовок 1 Знак"/>
    <w:basedOn w:val="804"/>
    <w:link w:val="795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styleId="979" w:customStyle="1">
    <w:name w:val="Заголовок 2 Знак"/>
    <w:basedOn w:val="804"/>
    <w:link w:val="796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styleId="980" w:customStyle="1">
    <w:name w:val="Заголовок 3 Знак"/>
    <w:basedOn w:val="804"/>
    <w:link w:val="797"/>
    <w:pPr>
      <w:pBdr/>
      <w:spacing/>
      <w:ind/>
    </w:pPr>
    <w:rPr>
      <w:rFonts w:ascii="Arial" w:hAnsi="Arial" w:eastAsia="Times New Roman" w:cs="Arial"/>
      <w:b/>
      <w:bCs/>
      <w:szCs w:val="26"/>
      <w:lang w:val="en-GB"/>
    </w:rPr>
  </w:style>
  <w:style w:type="character" w:styleId="981" w:customStyle="1">
    <w:name w:val="Заголовок 4 Знак"/>
    <w:basedOn w:val="804"/>
    <w:link w:val="798"/>
    <w:pPr>
      <w:pBdr/>
      <w:spacing/>
      <w:ind/>
    </w:pPr>
    <w:rPr>
      <w:rFonts w:ascii="Arial" w:hAnsi="Arial" w:eastAsia="Times New Roman" w:cs="Times New Roman"/>
      <w:b/>
      <w:sz w:val="28"/>
      <w:szCs w:val="20"/>
      <w:lang w:val="en-AU"/>
    </w:rPr>
  </w:style>
  <w:style w:type="character" w:styleId="982" w:customStyle="1">
    <w:name w:val="Заголовок 5 Знак"/>
    <w:basedOn w:val="804"/>
    <w:link w:val="799"/>
    <w:pPr>
      <w:pBdr/>
      <w:spacing/>
      <w:ind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styleId="983" w:customStyle="1">
    <w:name w:val="Заголовок 6 Знак"/>
    <w:basedOn w:val="804"/>
    <w:link w:val="800"/>
    <w:pPr>
      <w:pBdr/>
      <w:spacing/>
      <w:ind/>
    </w:pPr>
    <w:rPr>
      <w:rFonts w:ascii="Arial" w:hAnsi="Arial" w:eastAsia="Times New Roman" w:cs="Times New Roman"/>
      <w:b/>
      <w:sz w:val="24"/>
      <w:szCs w:val="20"/>
      <w:lang w:val="en-AU"/>
    </w:rPr>
  </w:style>
  <w:style w:type="character" w:styleId="984" w:customStyle="1">
    <w:name w:val="Заголовок 7 Знак"/>
    <w:basedOn w:val="804"/>
    <w:link w:val="801"/>
    <w:pPr>
      <w:pBdr/>
      <w:spacing/>
      <w:ind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styleId="985" w:customStyle="1">
    <w:name w:val="Заголовок 8 Знак"/>
    <w:basedOn w:val="804"/>
    <w:link w:val="802"/>
    <w:pPr>
      <w:pBdr/>
      <w:spacing/>
      <w:ind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styleId="986" w:customStyle="1">
    <w:name w:val="Заголовок 9 Знак"/>
    <w:basedOn w:val="804"/>
    <w:link w:val="803"/>
    <w:pPr>
      <w:pBdr/>
      <w:spacing/>
      <w:ind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styleId="987">
    <w:name w:val="Hyperlink"/>
    <w:uiPriority w:val="99"/>
    <w:pPr>
      <w:pBdr/>
      <w:spacing/>
      <w:ind/>
    </w:pPr>
    <w:rPr>
      <w:color w:val="0000ff"/>
      <w:u w:val="single"/>
    </w:rPr>
  </w:style>
  <w:style w:type="table" w:styleId="988">
    <w:name w:val="Table Grid"/>
    <w:basedOn w:val="805"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89">
    <w:name w:val="toc 1"/>
    <w:basedOn w:val="794"/>
    <w:next w:val="794"/>
    <w:uiPriority w:val="39"/>
    <w:qFormat/>
    <w:pPr>
      <w:pBdr/>
      <w:tabs>
        <w:tab w:val="right" w:leader="dot" w:pos="9825"/>
      </w:tabs>
      <w:spacing w:after="0" w:line="360" w:lineRule="auto"/>
      <w:ind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990" w:customStyle="1">
    <w:name w:val="numbered list"/>
    <w:basedOn w:val="991"/>
    <w:pPr>
      <w:pBdr/>
      <w:spacing/>
      <w:ind/>
    </w:pPr>
  </w:style>
  <w:style w:type="paragraph" w:styleId="991" w:customStyle="1">
    <w:name w:val="bullet"/>
    <w:basedOn w:val="794"/>
    <w:pPr>
      <w:numPr>
        <w:numId w:val="1"/>
      </w:numPr>
      <w:pBdr/>
      <w:spacing w:after="0" w:line="360" w:lineRule="auto"/>
      <w:ind/>
    </w:pPr>
    <w:rPr>
      <w:rFonts w:ascii="Arial" w:hAnsi="Arial" w:eastAsia="Times New Roman" w:cs="Times New Roman"/>
      <w:szCs w:val="24"/>
      <w:lang w:val="en-GB"/>
    </w:rPr>
  </w:style>
  <w:style w:type="character" w:styleId="992">
    <w:name w:val="page number"/>
    <w:pPr>
      <w:pBdr/>
      <w:spacing/>
      <w:ind/>
    </w:pPr>
    <w:rPr>
      <w:rFonts w:ascii="Arial" w:hAnsi="Arial"/>
      <w:sz w:val="16"/>
    </w:rPr>
  </w:style>
  <w:style w:type="paragraph" w:styleId="993" w:customStyle="1">
    <w:name w:val="Doc subtitle1"/>
    <w:basedOn w:val="794"/>
    <w:link w:val="1004"/>
    <w:pPr>
      <w:pBdr/>
      <w:spacing w:after="0" w:line="360" w:lineRule="auto"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994" w:customStyle="1">
    <w:name w:val="Doc subtitle2"/>
    <w:basedOn w:val="794"/>
    <w:pPr>
      <w:pBdr/>
      <w:spacing w:after="0" w:line="360" w:lineRule="auto"/>
      <w:ind/>
    </w:pPr>
    <w:rPr>
      <w:rFonts w:ascii="Arial" w:hAnsi="Arial" w:eastAsia="Times New Roman" w:cs="Times New Roman"/>
      <w:sz w:val="28"/>
      <w:szCs w:val="24"/>
      <w:lang w:val="en-GB"/>
    </w:rPr>
  </w:style>
  <w:style w:type="paragraph" w:styleId="995" w:customStyle="1">
    <w:name w:val="Doc title"/>
    <w:basedOn w:val="794"/>
    <w:pPr>
      <w:pBdr/>
      <w:spacing w:after="0" w:line="360" w:lineRule="auto"/>
      <w:ind/>
    </w:pPr>
    <w:rPr>
      <w:rFonts w:ascii="Arial" w:hAnsi="Arial" w:eastAsia="Times New Roman" w:cs="Times New Roman"/>
      <w:b/>
      <w:sz w:val="40"/>
      <w:szCs w:val="24"/>
      <w:lang w:val="en-GB"/>
    </w:rPr>
  </w:style>
  <w:style w:type="paragraph" w:styleId="996">
    <w:name w:val="Body Text"/>
    <w:basedOn w:val="794"/>
    <w:link w:val="997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character" w:styleId="997" w:customStyle="1">
    <w:name w:val="Основной текст Знак"/>
    <w:basedOn w:val="804"/>
    <w:link w:val="996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AU"/>
    </w:rPr>
  </w:style>
  <w:style w:type="paragraph" w:styleId="998">
    <w:name w:val="Body Text Indent 2"/>
    <w:basedOn w:val="794"/>
    <w:link w:val="999"/>
    <w:semiHidden/>
    <w:pPr>
      <w:pBdr/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character" w:styleId="999" w:customStyle="1">
    <w:name w:val="Основной текст с отступом 2 Знак"/>
    <w:basedOn w:val="804"/>
    <w:link w:val="998"/>
    <w:semiHidden/>
    <w:pPr>
      <w:pBdr/>
      <w:spacing/>
      <w:ind/>
    </w:pPr>
    <w:rPr>
      <w:rFonts w:ascii="Arial" w:hAnsi="Arial" w:eastAsia="Times New Roman" w:cs="Times New Roman"/>
      <w:sz w:val="24"/>
      <w:szCs w:val="20"/>
      <w:lang w:val="en-US"/>
    </w:rPr>
  </w:style>
  <w:style w:type="paragraph" w:styleId="1000">
    <w:name w:val="Body Text 2"/>
    <w:basedOn w:val="794"/>
    <w:link w:val="1001"/>
    <w:semiHidden/>
    <w:pPr>
      <w:widowControl w:val="false"/>
      <w:pBdr/>
      <w:spacing w:after="0" w:line="360" w:lineRule="auto"/>
      <w:ind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character" w:styleId="1001" w:customStyle="1">
    <w:name w:val="Основной текст 2 Знак"/>
    <w:basedOn w:val="804"/>
    <w:link w:val="1000"/>
    <w:semiHidden/>
    <w:pPr>
      <w:pBdr/>
      <w:spacing/>
      <w:ind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002">
    <w:name w:val="Caption"/>
    <w:basedOn w:val="794"/>
    <w:next w:val="794"/>
    <w:qFormat/>
    <w:pPr>
      <w:widowControl w:val="false"/>
      <w:pBdr/>
      <w:spacing w:after="0" w:before="240" w:line="360" w:lineRule="auto"/>
      <w:ind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003" w:customStyle="1">
    <w:name w:val="Абзац списка1"/>
    <w:basedOn w:val="794"/>
    <w:pPr>
      <w:pBdr/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styleId="1004" w:customStyle="1">
    <w:name w:val="Doc subtitle1 Char"/>
    <w:link w:val="993"/>
    <w:pPr>
      <w:pBdr/>
      <w:spacing/>
      <w:ind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1005">
    <w:name w:val="footnote text"/>
    <w:basedOn w:val="794"/>
    <w:link w:val="1006"/>
    <w:pPr>
      <w:pBdr/>
      <w:spacing w:after="0" w:line="36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06" w:customStyle="1">
    <w:name w:val="Текст сноски Знак"/>
    <w:basedOn w:val="804"/>
    <w:link w:val="1005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07">
    <w:name w:val="footnote reference"/>
    <w:pPr>
      <w:pBdr/>
      <w:spacing/>
      <w:ind/>
    </w:pPr>
    <w:rPr>
      <w:vertAlign w:val="superscript"/>
    </w:rPr>
  </w:style>
  <w:style w:type="character" w:styleId="1008">
    <w:name w:val="FollowedHyperlink"/>
    <w:pPr>
      <w:pBdr/>
      <w:spacing/>
      <w:ind/>
    </w:pPr>
    <w:rPr>
      <w:color w:val="800080"/>
      <w:u w:val="single"/>
    </w:rPr>
  </w:style>
  <w:style w:type="paragraph" w:styleId="1009" w:customStyle="1">
    <w:name w:val="цветной текст"/>
    <w:basedOn w:val="794"/>
    <w:qFormat/>
    <w:pPr>
      <w:numPr>
        <w:numId w:val="3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styleId="1010" w:customStyle="1">
    <w:name w:val="538552DCBB0F4C4BB087ED922D6A6322"/>
    <w:pPr>
      <w:pBdr/>
      <w:spacing w:after="200" w:line="276" w:lineRule="auto"/>
      <w:ind/>
    </w:pPr>
    <w:rPr>
      <w:rFonts w:ascii="Calibri" w:hAnsi="Calibri" w:eastAsia="Times New Roman" w:cs="Times New Roman"/>
      <w:lang w:eastAsia="ru-RU"/>
    </w:rPr>
  </w:style>
  <w:style w:type="paragraph" w:styleId="1011" w:customStyle="1">
    <w:name w:val="выделение цвет"/>
    <w:basedOn w:val="794"/>
    <w:link w:val="1024"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12" w:customStyle="1">
    <w:name w:val="цвет в таблице"/>
    <w:pPr>
      <w:pBdr/>
      <w:spacing/>
      <w:ind/>
    </w:pPr>
    <w:rPr>
      <w:color w:val="2c8de6"/>
    </w:rPr>
  </w:style>
  <w:style w:type="paragraph" w:styleId="1013">
    <w:name w:val="TOC Heading"/>
    <w:basedOn w:val="795"/>
    <w:next w:val="794"/>
    <w:uiPriority w:val="39"/>
    <w:semiHidden/>
    <w:unhideWhenUsed/>
    <w:qFormat/>
    <w:pPr>
      <w:keepLines w:val="true"/>
      <w:pBdr/>
      <w:spacing w:after="0" w:before="480" w:line="276" w:lineRule="auto"/>
      <w:ind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1014">
    <w:name w:val="toc 2"/>
    <w:basedOn w:val="794"/>
    <w:next w:val="794"/>
    <w:uiPriority w:val="39"/>
    <w:qFormat/>
    <w:pPr>
      <w:pBdr/>
      <w:tabs>
        <w:tab w:val="left" w:leader="none" w:pos="142"/>
        <w:tab w:val="right" w:leader="dot" w:pos="9639"/>
      </w:tabs>
      <w:spacing w:after="0" w:line="240" w:lineRule="auto"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15">
    <w:name w:val="toc 3"/>
    <w:basedOn w:val="794"/>
    <w:next w:val="794"/>
    <w:uiPriority w:val="39"/>
    <w:unhideWhenUsed/>
    <w:qFormat/>
    <w:pPr>
      <w:pBdr/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paragraph" w:styleId="1016" w:customStyle="1">
    <w:name w:val="!Заголовок-1"/>
    <w:basedOn w:val="795"/>
    <w:link w:val="1018"/>
    <w:qFormat/>
    <w:pPr>
      <w:pBdr/>
      <w:spacing/>
      <w:ind/>
    </w:pPr>
    <w:rPr>
      <w:lang w:val="ru-RU"/>
    </w:rPr>
  </w:style>
  <w:style w:type="paragraph" w:styleId="1017" w:customStyle="1">
    <w:name w:val="!заголовок-2"/>
    <w:basedOn w:val="796"/>
    <w:link w:val="1020"/>
    <w:qFormat/>
    <w:pPr>
      <w:pBdr/>
      <w:spacing/>
      <w:ind/>
    </w:pPr>
    <w:rPr>
      <w:lang w:val="ru-RU"/>
    </w:rPr>
  </w:style>
  <w:style w:type="character" w:styleId="1018" w:customStyle="1">
    <w:name w:val="!Заголовок-1 Знак"/>
    <w:link w:val="1016"/>
    <w:pPr>
      <w:pBdr/>
      <w:spacing/>
      <w:ind/>
    </w:pPr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styleId="1019" w:customStyle="1">
    <w:name w:val="!Текст"/>
    <w:basedOn w:val="794"/>
    <w:link w:val="1022"/>
    <w:qFormat/>
    <w:p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20" w:customStyle="1">
    <w:name w:val="!заголовок-2 Знак"/>
    <w:link w:val="1017"/>
    <w:pPr>
      <w:pBdr/>
      <w:spacing/>
      <w:ind/>
    </w:pPr>
    <w:rPr>
      <w:rFonts w:ascii="Arial" w:hAnsi="Arial" w:eastAsia="Times New Roman" w:cs="Times New Roman"/>
      <w:b/>
      <w:sz w:val="28"/>
      <w:szCs w:val="24"/>
    </w:rPr>
  </w:style>
  <w:style w:type="paragraph" w:styleId="1021" w:customStyle="1">
    <w:name w:val="!Синий заголовок текста"/>
    <w:basedOn w:val="1011"/>
    <w:link w:val="1025"/>
    <w:qFormat/>
    <w:pPr>
      <w:pBdr/>
      <w:spacing/>
      <w:ind/>
    </w:pPr>
  </w:style>
  <w:style w:type="character" w:styleId="1022" w:customStyle="1">
    <w:name w:val="!Текст Знак"/>
    <w:link w:val="1019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23" w:customStyle="1">
    <w:name w:val="!Список с точками"/>
    <w:basedOn w:val="794"/>
    <w:link w:val="1027"/>
    <w:qFormat/>
    <w:pPr>
      <w:numPr>
        <w:numId w:val="2"/>
      </w:numPr>
      <w:pBdr/>
      <w:spacing w:after="0" w:line="360" w:lineRule="auto"/>
      <w:ind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styleId="1024" w:customStyle="1">
    <w:name w:val="выделение цвет Знак"/>
    <w:link w:val="101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styleId="1025" w:customStyle="1">
    <w:name w:val="!Синий заголовок текста Знак"/>
    <w:link w:val="1021"/>
    <w:pPr>
      <w:pBdr/>
      <w:spacing/>
      <w:ind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styleId="1026">
    <w:name w:val="List Paragraph"/>
    <w:basedOn w:val="794"/>
    <w:uiPriority w:val="34"/>
    <w:qFormat/>
    <w:pPr>
      <w:pBdr/>
      <w:spacing w:after="200" w:line="276" w:lineRule="auto"/>
      <w:ind w:left="720"/>
      <w:contextualSpacing w:val="true"/>
    </w:pPr>
    <w:rPr>
      <w:rFonts w:ascii="Calibri" w:hAnsi="Calibri" w:eastAsia="Calibri" w:cs="Times New Roman"/>
    </w:rPr>
  </w:style>
  <w:style w:type="character" w:styleId="1027" w:customStyle="1">
    <w:name w:val="!Список с точками Знак"/>
    <w:link w:val="1023"/>
    <w:pPr>
      <w:pBdr/>
      <w:spacing/>
      <w:ind/>
    </w:pPr>
    <w:rPr>
      <w:rFonts w:ascii="Times New Roman" w:hAnsi="Times New Roman" w:eastAsia="Times New Roman" w:cs="Times New Roman"/>
      <w:szCs w:val="20"/>
      <w:lang w:eastAsia="ru-RU"/>
    </w:rPr>
  </w:style>
  <w:style w:type="paragraph" w:styleId="1028" w:customStyle="1">
    <w:name w:val="Базовый"/>
    <w:pPr>
      <w:pBdr/>
      <w:spacing w:after="200" w:line="276" w:lineRule="auto"/>
      <w:ind/>
    </w:pPr>
    <w:rPr>
      <w:rFonts w:ascii="Times New Roman" w:hAnsi="Times New Roman" w:eastAsia="DejaVu Sans" w:cs="Times New Roman"/>
      <w:sz w:val="24"/>
      <w:szCs w:val="24"/>
    </w:rPr>
  </w:style>
  <w:style w:type="character" w:styleId="1029" w:customStyle="1">
    <w:name w:val="Интернет-ссылка"/>
    <w:pPr>
      <w:pBdr/>
      <w:spacing/>
      <w:ind/>
    </w:pPr>
    <w:rPr>
      <w:color w:val="0000ff"/>
      <w:u w:val="single"/>
      <w:lang w:val="ru-RU" w:eastAsia="ru-RU" w:bidi="ru-RU"/>
    </w:rPr>
  </w:style>
  <w:style w:type="character" w:styleId="1030">
    <w:name w:val="annotation reference"/>
    <w:basedOn w:val="804"/>
    <w:semiHidden/>
    <w:unhideWhenUsed/>
    <w:pPr>
      <w:pBdr/>
      <w:spacing/>
      <w:ind/>
    </w:pPr>
    <w:rPr>
      <w:sz w:val="16"/>
      <w:szCs w:val="16"/>
    </w:rPr>
  </w:style>
  <w:style w:type="paragraph" w:styleId="1031">
    <w:name w:val="annotation text"/>
    <w:basedOn w:val="794"/>
    <w:link w:val="1032"/>
    <w:semiHidden/>
    <w:unhideWhenUsed/>
    <w:pPr>
      <w:pBdr/>
      <w:spacing w:after="0" w:line="240" w:lineRule="auto"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32" w:customStyle="1">
    <w:name w:val="Текст примечания Знак"/>
    <w:basedOn w:val="804"/>
    <w:link w:val="1031"/>
    <w:semiHidden/>
    <w:pPr>
      <w:pBdr/>
      <w:spacing/>
      <w:ind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033">
    <w:name w:val="annotation subject"/>
    <w:basedOn w:val="1031"/>
    <w:next w:val="1031"/>
    <w:link w:val="1034"/>
    <w:semiHidden/>
    <w:unhideWhenUsed/>
    <w:pPr>
      <w:pBdr/>
      <w:spacing/>
      <w:ind/>
    </w:pPr>
    <w:rPr>
      <w:b/>
      <w:bCs/>
    </w:rPr>
  </w:style>
  <w:style w:type="character" w:styleId="1034" w:customStyle="1">
    <w:name w:val="Тема примечания Знак"/>
    <w:basedOn w:val="1032"/>
    <w:link w:val="1033"/>
    <w:semiHidden/>
    <w:pPr>
      <w:pBdr/>
      <w:spacing/>
      <w:ind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1035" w:customStyle="1">
    <w:name w:val="Lista Black"/>
    <w:basedOn w:val="996"/>
    <w:uiPriority w:val="1"/>
    <w:qFormat/>
    <w:pPr>
      <w:keepNext w:val="true"/>
      <w:numPr>
        <w:numId w:val="8"/>
      </w:numPr>
      <w:pBdr/>
      <w:spacing w:after="120" w:line="240" w:lineRule="auto"/>
      <w:ind/>
      <w:jc w:val="left"/>
    </w:pPr>
    <w:rPr>
      <w:rFonts w:ascii="Calibri" w:hAnsi="Calibri" w:eastAsia="FrutigerLTStd-Light" w:cstheme="minorBidi"/>
      <w:sz w:val="20"/>
      <w:lang w:val="en-US"/>
    </w:rPr>
  </w:style>
  <w:style w:type="character" w:styleId="1036" w:customStyle="1">
    <w:name w:val="Основной текст (14)_"/>
    <w:basedOn w:val="804"/>
    <w:link w:val="1037"/>
    <w:pPr>
      <w:pBdr/>
      <w:spacing/>
      <w:ind/>
    </w:pPr>
    <w:rPr>
      <w:rFonts w:ascii="Segoe UI" w:hAnsi="Segoe UI" w:eastAsia="Segoe UI" w:cs="Segoe UI"/>
      <w:sz w:val="19"/>
      <w:szCs w:val="19"/>
      <w:shd w:val="clear" w:color="auto" w:fill="ffffff"/>
    </w:rPr>
  </w:style>
  <w:style w:type="paragraph" w:styleId="1037" w:customStyle="1">
    <w:name w:val="Основной текст (14)_3"/>
    <w:basedOn w:val="794"/>
    <w:link w:val="1036"/>
    <w:pPr>
      <w:widowControl w:val="false"/>
      <w:pBdr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styleId="1038" w:customStyle="1">
    <w:name w:val="Неразрешенное упоминание1"/>
    <w:basedOn w:val="804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character" w:styleId="1039" w:customStyle="1">
    <w:name w:val="Неразрешенное упоминание2"/>
    <w:basedOn w:val="804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84CA-7844-4D2F-86D5-3438AC7E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revision>9</cp:revision>
  <dcterms:created xsi:type="dcterms:W3CDTF">2024-11-18T12:33:00Z</dcterms:created>
  <dcterms:modified xsi:type="dcterms:W3CDTF">2026-01-29T03:40:59Z</dcterms:modified>
</cp:coreProperties>
</file>