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70DE6782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A8644B">
        <w:rPr>
          <w:rFonts w:eastAsia="Times New Roman" w:cs="Times New Roman"/>
          <w:color w:val="000000"/>
          <w:sz w:val="40"/>
          <w:szCs w:val="40"/>
        </w:rPr>
        <w:t>Эксплуатация кабельных линий электропередачи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78B2F69B" w:rsidR="00584FB3" w:rsidRDefault="0024004B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24004B">
        <w:rPr>
          <w:rFonts w:eastAsia="Times New Roman" w:cs="Times New Roman"/>
          <w:iCs/>
          <w:color w:val="000000"/>
          <w:sz w:val="36"/>
          <w:szCs w:val="36"/>
        </w:rPr>
        <w:t>Регионального</w:t>
      </w:r>
      <w:r w:rsidR="00C025DD" w:rsidRPr="0024004B">
        <w:rPr>
          <w:rFonts w:eastAsia="Times New Roman" w:cs="Times New Roman"/>
          <w:iCs/>
          <w:color w:val="000000"/>
          <w:sz w:val="36"/>
          <w:szCs w:val="36"/>
        </w:rPr>
        <w:t xml:space="preserve">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3FBBB964" w14:textId="1432AFD2" w:rsidR="001A206B" w:rsidRDefault="00516908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2026 в Кузбассе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bookmarkStart w:id="0" w:name="_GoBack"/>
      <w:bookmarkEnd w:id="0"/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712683AB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A8644B">
        <w:rPr>
          <w:rFonts w:eastAsia="Times New Roman" w:cs="Times New Roman"/>
          <w:color w:val="000000"/>
        </w:rPr>
        <w:t>6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3C13B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3C13B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3C13B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3C13B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3C13B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3C13B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7769AE0C" w14:textId="50B00071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24004B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Pr="009269AB">
        <w:rPr>
          <w:rFonts w:eastAsia="Times New Roman" w:cs="Times New Roman"/>
          <w:i/>
          <w:color w:val="000000"/>
          <w:sz w:val="28"/>
          <w:szCs w:val="28"/>
        </w:rPr>
        <w:t xml:space="preserve"> </w:t>
      </w:r>
      <w:r w:rsidRPr="0024004B">
        <w:rPr>
          <w:rFonts w:eastAsia="Times New Roman" w:cs="Times New Roman"/>
          <w:iCs/>
          <w:color w:val="000000"/>
          <w:sz w:val="28"/>
          <w:szCs w:val="28"/>
        </w:rPr>
        <w:t>этапа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</w:t>
      </w:r>
      <w:r w:rsidR="00651502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2C46F97F" w14:textId="5FCF1055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24004B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24004B" w:rsidRPr="009269AB">
        <w:rPr>
          <w:rFonts w:eastAsia="Times New Roman" w:cs="Times New Roman"/>
          <w:i/>
          <w:color w:val="000000"/>
          <w:sz w:val="28"/>
          <w:szCs w:val="28"/>
        </w:rPr>
        <w:t xml:space="preserve"> </w:t>
      </w:r>
      <w:r w:rsidR="0024004B" w:rsidRPr="0024004B">
        <w:rPr>
          <w:rFonts w:eastAsia="Times New Roman" w:cs="Times New Roman"/>
          <w:iCs/>
          <w:color w:val="000000"/>
          <w:sz w:val="28"/>
          <w:szCs w:val="28"/>
        </w:rPr>
        <w:t>этапа</w:t>
      </w:r>
      <w:r w:rsidR="0024004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651502">
        <w:rPr>
          <w:rFonts w:eastAsia="Times New Roman" w:cs="Times New Roman"/>
          <w:color w:val="000000"/>
          <w:sz w:val="28"/>
          <w:szCs w:val="28"/>
        </w:rPr>
        <w:t>6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651502">
        <w:rPr>
          <w:rFonts w:eastAsia="Times New Roman" w:cs="Times New Roman"/>
          <w:color w:val="000000"/>
          <w:sz w:val="28"/>
          <w:szCs w:val="28"/>
        </w:rPr>
        <w:t>Эксплуатация кабельных линий электропередачи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3E627FB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896C0D">
        <w:rPr>
          <w:rFonts w:eastAsia="Times New Roman" w:cs="Times New Roman"/>
          <w:color w:val="000000"/>
          <w:sz w:val="28"/>
          <w:szCs w:val="28"/>
        </w:rPr>
        <w:t xml:space="preserve"> Правила по охране труда при эксплуатации электроустановок от 15.12.2020 приказ Минтруда РФ №903н (ред. № 279н от 29.04.2022)</w:t>
      </w:r>
    </w:p>
    <w:p w14:paraId="3613F111" w14:textId="18ED8CB4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4B1C6A">
        <w:rPr>
          <w:rFonts w:eastAsia="Times New Roman" w:cs="Times New Roman"/>
          <w:color w:val="000000"/>
          <w:sz w:val="28"/>
          <w:szCs w:val="28"/>
        </w:rPr>
        <w:t xml:space="preserve"> ПТЭЭП от 01.01.2003 с изм. И доп. 13.08.2018 и изм. 2023 Минэнерго РФ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B4D2E2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253BDF">
        <w:rPr>
          <w:rFonts w:eastAsia="Times New Roman" w:cs="Times New Roman"/>
          <w:color w:val="000000"/>
          <w:sz w:val="28"/>
          <w:szCs w:val="28"/>
        </w:rPr>
        <w:t>Эксплуатация кабельных линий электропередачи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253BDF">
        <w:rPr>
          <w:rFonts w:eastAsia="Times New Roman" w:cs="Times New Roman"/>
          <w:color w:val="000000"/>
          <w:sz w:val="28"/>
          <w:szCs w:val="28"/>
        </w:rPr>
        <w:t>электромонтёр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59B52DA" w14:textId="07441F3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</w:t>
      </w:r>
      <w:r w:rsidR="002E3124">
        <w:rPr>
          <w:rFonts w:eastAsia="Times New Roman" w:cs="Times New Roman"/>
          <w:color w:val="000000"/>
          <w:sz w:val="28"/>
          <w:szCs w:val="28"/>
        </w:rPr>
        <w:t xml:space="preserve"> (полимера после усадки)</w:t>
      </w:r>
      <w:r>
        <w:rPr>
          <w:rFonts w:eastAsia="Times New Roman" w:cs="Times New Roman"/>
          <w:color w:val="000000"/>
          <w:sz w:val="28"/>
          <w:szCs w:val="28"/>
        </w:rPr>
        <w:t>, изделий, наружной поверхности оборудования</w:t>
      </w:r>
      <w:r w:rsidR="002E3124">
        <w:rPr>
          <w:rFonts w:eastAsia="Times New Roman" w:cs="Times New Roman"/>
          <w:color w:val="000000"/>
          <w:sz w:val="28"/>
          <w:szCs w:val="28"/>
        </w:rPr>
        <w:t xml:space="preserve"> (электрофен</w:t>
      </w:r>
      <w:r w:rsidR="000665F5" w:rsidRPr="000665F5">
        <w:rPr>
          <w:rFonts w:eastAsia="Times New Roman" w:cs="Times New Roman"/>
          <w:color w:val="000000"/>
          <w:sz w:val="28"/>
          <w:szCs w:val="28"/>
        </w:rPr>
        <w:t>)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62C66835" w14:textId="1F8E46F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2E3124">
        <w:rPr>
          <w:rFonts w:eastAsia="Times New Roman" w:cs="Times New Roman"/>
          <w:color w:val="000000"/>
          <w:sz w:val="28"/>
          <w:szCs w:val="28"/>
        </w:rPr>
        <w:t>режущий инструмент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7098B28F" w14:textId="257AEB1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2E3124">
        <w:rPr>
          <w:rFonts w:eastAsia="Times New Roman" w:cs="Times New Roman"/>
          <w:color w:val="000000"/>
          <w:sz w:val="28"/>
          <w:szCs w:val="28"/>
        </w:rPr>
        <w:t>колющие предметы и части кабеля и муфты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4C2C7A3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665F5">
        <w:rPr>
          <w:rFonts w:eastAsia="Times New Roman" w:cs="Times New Roman"/>
          <w:color w:val="000000"/>
          <w:sz w:val="28"/>
          <w:szCs w:val="28"/>
        </w:rPr>
        <w:t xml:space="preserve">(конкурсанты) </w:t>
      </w:r>
      <w:r>
        <w:rPr>
          <w:rFonts w:eastAsia="Times New Roman" w:cs="Times New Roman"/>
          <w:color w:val="000000"/>
          <w:sz w:val="28"/>
          <w:szCs w:val="28"/>
        </w:rPr>
        <w:t>должны находиться на площадке в спецодежде, спецобуви и применять средства индивидуальной защиты</w:t>
      </w:r>
      <w:r w:rsidR="000665F5" w:rsidRPr="000665F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665F5">
        <w:rPr>
          <w:rFonts w:eastAsia="Times New Roman" w:cs="Times New Roman"/>
          <w:color w:val="000000"/>
          <w:sz w:val="28"/>
          <w:szCs w:val="28"/>
        </w:rPr>
        <w:t>(каска, очки, перчатки). Экспертам</w:t>
      </w:r>
      <w:r w:rsidR="00153403">
        <w:rPr>
          <w:rFonts w:eastAsia="Times New Roman" w:cs="Times New Roman"/>
          <w:color w:val="000000"/>
          <w:sz w:val="28"/>
          <w:szCs w:val="28"/>
        </w:rPr>
        <w:t xml:space="preserve"> могут находится в обычной одежде, использовать очки и перчатки в случае промежуточной проверки отдельных операций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A51D096" w14:textId="7A455780" w:rsidR="001A206B" w:rsidRPr="00153403" w:rsidRDefault="00153403" w:rsidP="001534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Проверить наличие на рабочем месте средств индивидуальной защиты, </w:t>
      </w:r>
      <w:r w:rsidRPr="00153403">
        <w:rPr>
          <w:rFonts w:eastAsia="Times New Roman" w:cs="Times New Roman"/>
          <w:color w:val="000000"/>
          <w:sz w:val="28"/>
          <w:szCs w:val="28"/>
        </w:rPr>
        <w:t>огнетушител</w:t>
      </w:r>
      <w:r>
        <w:rPr>
          <w:rFonts w:eastAsia="Times New Roman" w:cs="Times New Roman"/>
          <w:color w:val="000000"/>
          <w:sz w:val="28"/>
          <w:szCs w:val="28"/>
        </w:rPr>
        <w:t>я</w:t>
      </w:r>
      <w:r w:rsidRPr="00153403">
        <w:rPr>
          <w:rFonts w:eastAsia="Times New Roman" w:cs="Times New Roman"/>
          <w:color w:val="000000"/>
          <w:sz w:val="28"/>
          <w:szCs w:val="28"/>
        </w:rPr>
        <w:t xml:space="preserve">, </w:t>
      </w:r>
      <w:r>
        <w:rPr>
          <w:rFonts w:eastAsia="Times New Roman" w:cs="Times New Roman"/>
          <w:color w:val="000000"/>
          <w:sz w:val="28"/>
          <w:szCs w:val="28"/>
        </w:rPr>
        <w:t>аптечки, питьевой воды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6A530C1C" w:rsidR="001A206B" w:rsidRDefault="0015340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Не проведён инструктаж, </w:t>
      </w:r>
    </w:p>
    <w:p w14:paraId="0F047C65" w14:textId="4DEF94DE" w:rsidR="003A5AA3" w:rsidRDefault="003A5AA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На рабочем месте отсутствуют все необходимые СИЗ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52CB64F" w14:textId="36D2A20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A5AA3">
        <w:rPr>
          <w:rFonts w:eastAsia="Times New Roman" w:cs="Times New Roman"/>
          <w:color w:val="000000"/>
          <w:sz w:val="28"/>
          <w:szCs w:val="28"/>
        </w:rPr>
        <w:t>Использовать очки при работе с экраном кабеля</w:t>
      </w:r>
    </w:p>
    <w:p w14:paraId="0F5AD18A" w14:textId="15C7E95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A5AA3">
        <w:rPr>
          <w:rFonts w:eastAsia="Times New Roman" w:cs="Times New Roman"/>
          <w:color w:val="000000"/>
          <w:sz w:val="28"/>
          <w:szCs w:val="28"/>
        </w:rPr>
        <w:t>Использовать перчатки при работе с режущим инструментом</w:t>
      </w:r>
    </w:p>
    <w:p w14:paraId="314F28C3" w14:textId="55F75F43" w:rsidR="003A5AA3" w:rsidRDefault="003A5A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5.4. Использовать специальный СИЗ при работе с силиконовыми смазками</w:t>
      </w:r>
    </w:p>
    <w:p w14:paraId="0E0E60E3" w14:textId="15D6589D" w:rsidR="003A5AA3" w:rsidRDefault="003A5A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5.5. Использовать специальный металлический контейнер с металлической крышкой для </w:t>
      </w:r>
      <w:r w:rsidR="00CC3D94">
        <w:rPr>
          <w:rFonts w:eastAsia="Times New Roman" w:cs="Times New Roman"/>
          <w:color w:val="000000"/>
          <w:sz w:val="28"/>
          <w:szCs w:val="28"/>
        </w:rPr>
        <w:t xml:space="preserve">хранения легковоспламеняющихся отходов. Крышку </w:t>
      </w:r>
    </w:p>
    <w:p w14:paraId="5B124385" w14:textId="18579BC1" w:rsidR="00EA330A" w:rsidRDefault="00EA330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5.6. при работе с режущим инструментом НЕ направлять его на себя. 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01B04BCC" w:rsidR="001A206B" w:rsidRDefault="003A5AA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Воспользоваться огнетушителем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4103E89" w14:textId="534DEF41" w:rsidR="001A206B" w:rsidRDefault="00CC3D9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Привести рабочее место в порядок</w:t>
      </w:r>
    </w:p>
    <w:p w14:paraId="1FA380D6" w14:textId="3D2EC26E" w:rsidR="00CC3D94" w:rsidRDefault="00CC3D9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Убрать все режущие и колючие инструменты в соответствующие </w:t>
      </w:r>
      <w:r w:rsidR="00EA330A">
        <w:rPr>
          <w:rFonts w:eastAsia="Times New Roman" w:cs="Times New Roman"/>
          <w:color w:val="000000"/>
          <w:sz w:val="28"/>
          <w:szCs w:val="28"/>
        </w:rPr>
        <w:t>ящики для хранения</w:t>
      </w:r>
    </w:p>
    <w:p w14:paraId="45E5B906" w14:textId="67766169" w:rsidR="00EA330A" w:rsidRDefault="00EA330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Отключить от сети электрофен</w:t>
      </w:r>
    </w:p>
    <w:p w14:paraId="4383F5FA" w14:textId="7F25C15A" w:rsidR="00EA330A" w:rsidRDefault="00EA330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Дождаться охлаждения электрофена и убрать его в упаковку</w:t>
      </w:r>
    </w:p>
    <w:p w14:paraId="66779D31" w14:textId="3B399271" w:rsidR="00EA330A" w:rsidRDefault="00EA330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Убрать с рабочего места остатки металлического мусора</w:t>
      </w:r>
    </w:p>
    <w:sectPr w:rsidR="00EA330A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9C0C4" w14:textId="77777777" w:rsidR="003C13B9" w:rsidRDefault="003C13B9">
      <w:pPr>
        <w:spacing w:line="240" w:lineRule="auto"/>
      </w:pPr>
      <w:r>
        <w:separator/>
      </w:r>
    </w:p>
  </w:endnote>
  <w:endnote w:type="continuationSeparator" w:id="0">
    <w:p w14:paraId="38B7D903" w14:textId="77777777" w:rsidR="003C13B9" w:rsidRDefault="003C13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3017700C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516908">
      <w:rPr>
        <w:rFonts w:ascii="Calibri" w:hAnsi="Calibri"/>
        <w:noProof/>
        <w:color w:val="000000"/>
        <w:sz w:val="22"/>
        <w:szCs w:val="22"/>
      </w:rPr>
      <w:t>7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F6389" w14:textId="77777777" w:rsidR="003C13B9" w:rsidRDefault="003C13B9">
      <w:pPr>
        <w:spacing w:line="240" w:lineRule="auto"/>
      </w:pPr>
      <w:r>
        <w:separator/>
      </w:r>
    </w:p>
  </w:footnote>
  <w:footnote w:type="continuationSeparator" w:id="0">
    <w:p w14:paraId="29E2CE19" w14:textId="77777777" w:rsidR="003C13B9" w:rsidRDefault="003C13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44379"/>
    <w:rsid w:val="000665F5"/>
    <w:rsid w:val="00067573"/>
    <w:rsid w:val="00153403"/>
    <w:rsid w:val="00195C80"/>
    <w:rsid w:val="001A206B"/>
    <w:rsid w:val="0024004B"/>
    <w:rsid w:val="00253BDF"/>
    <w:rsid w:val="002E3124"/>
    <w:rsid w:val="00325995"/>
    <w:rsid w:val="003A5AA3"/>
    <w:rsid w:val="003C13B9"/>
    <w:rsid w:val="003D37FA"/>
    <w:rsid w:val="00463C10"/>
    <w:rsid w:val="004B1C6A"/>
    <w:rsid w:val="004C3BFC"/>
    <w:rsid w:val="00516908"/>
    <w:rsid w:val="00584FB3"/>
    <w:rsid w:val="00651502"/>
    <w:rsid w:val="006D0A4B"/>
    <w:rsid w:val="00721165"/>
    <w:rsid w:val="00896C0D"/>
    <w:rsid w:val="008A0253"/>
    <w:rsid w:val="009269AB"/>
    <w:rsid w:val="00940A53"/>
    <w:rsid w:val="00941E25"/>
    <w:rsid w:val="00A7162A"/>
    <w:rsid w:val="00A74F0F"/>
    <w:rsid w:val="00A8114D"/>
    <w:rsid w:val="00A82400"/>
    <w:rsid w:val="00A8644B"/>
    <w:rsid w:val="00AD4DA9"/>
    <w:rsid w:val="00B366B4"/>
    <w:rsid w:val="00B92118"/>
    <w:rsid w:val="00BA7163"/>
    <w:rsid w:val="00C006B0"/>
    <w:rsid w:val="00C025DD"/>
    <w:rsid w:val="00CC1E22"/>
    <w:rsid w:val="00CC3D94"/>
    <w:rsid w:val="00CE2B77"/>
    <w:rsid w:val="00EA330A"/>
    <w:rsid w:val="00EB37B9"/>
    <w:rsid w:val="00F26301"/>
    <w:rsid w:val="00F66017"/>
    <w:rsid w:val="00F8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7</Pages>
  <Words>1240</Words>
  <Characters>7071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Петровна Овчинникова</dc:creator>
  <cp:lastModifiedBy>КМТ</cp:lastModifiedBy>
  <cp:revision>9</cp:revision>
  <dcterms:created xsi:type="dcterms:W3CDTF">2025-08-18T08:02:00Z</dcterms:created>
  <dcterms:modified xsi:type="dcterms:W3CDTF">2026-01-20T06:48:00Z</dcterms:modified>
</cp:coreProperties>
</file>